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91"/>
        <w:gridCol w:w="5709"/>
      </w:tblGrid>
      <w:tr w:rsidR="003A2CCC" w:rsidRPr="00B04274" w14:paraId="7C9C2166" w14:textId="77777777" w:rsidTr="004F3CA2">
        <w:trPr>
          <w:trHeight w:val="288"/>
          <w:tblHeader/>
          <w:jc w:val="center"/>
        </w:trPr>
        <w:tc>
          <w:tcPr>
            <w:tcW w:w="5091" w:type="dxa"/>
            <w:shd w:val="clear" w:color="auto" w:fill="auto"/>
          </w:tcPr>
          <w:p w14:paraId="148606B8" w14:textId="753EE866" w:rsidR="003A2CCC" w:rsidRPr="00726651" w:rsidRDefault="003A2CCC" w:rsidP="00111C60">
            <w:pPr>
              <w:rPr>
                <w:b/>
                <w:bCs w:val="0"/>
                <w:smallCaps/>
                <w:sz w:val="24"/>
              </w:rPr>
            </w:pPr>
            <w:r>
              <w:br w:type="page"/>
            </w:r>
            <w:r>
              <w:br w:type="page"/>
            </w:r>
            <w:r w:rsidRPr="00726651">
              <w:rPr>
                <w:b/>
                <w:bCs w:val="0"/>
                <w:smallCaps/>
                <w:sz w:val="24"/>
              </w:rPr>
              <w:t xml:space="preserve">OHP </w:t>
            </w:r>
            <w:r w:rsidR="00AA02C1" w:rsidRPr="00726651">
              <w:rPr>
                <w:b/>
                <w:bCs w:val="0"/>
                <w:smallCaps/>
                <w:sz w:val="24"/>
              </w:rPr>
              <w:t>3</w:t>
            </w:r>
            <w:r w:rsidRPr="00726651">
              <w:rPr>
                <w:b/>
                <w:bCs w:val="0"/>
                <w:smallCaps/>
                <w:sz w:val="24"/>
              </w:rPr>
              <w:t>: Organic Product Profile</w:t>
            </w:r>
            <w:r w:rsidR="009A2A05">
              <w:rPr>
                <w:b/>
                <w:bCs w:val="0"/>
                <w:smallCaps/>
                <w:sz w:val="24"/>
              </w:rPr>
              <w:t xml:space="preserve"> (OPP)</w:t>
            </w:r>
          </w:p>
        </w:tc>
        <w:tc>
          <w:tcPr>
            <w:tcW w:w="5709" w:type="dxa"/>
            <w:shd w:val="clear" w:color="auto" w:fill="auto"/>
          </w:tcPr>
          <w:p w14:paraId="74BC7331" w14:textId="77777777" w:rsidR="003A2CCC" w:rsidRPr="00067ECB" w:rsidRDefault="003A2CCC" w:rsidP="00067ECB">
            <w:pPr>
              <w:jc w:val="right"/>
              <w:rPr>
                <w:b/>
                <w:bCs w:val="0"/>
                <w:iCs w:val="0"/>
                <w:szCs w:val="22"/>
              </w:rPr>
            </w:pPr>
            <w:r w:rsidRPr="00067ECB">
              <w:rPr>
                <w:rFonts w:eastAsia="Calibri" w:cs="Arial"/>
                <w:bCs w:val="0"/>
                <w:sz w:val="20"/>
                <w:szCs w:val="20"/>
              </w:rPr>
              <w:t>CAN/CGSB-32.310, Section 9</w:t>
            </w:r>
          </w:p>
        </w:tc>
      </w:tr>
      <w:tr w:rsidR="009A2A05" w:rsidRPr="00B04274" w14:paraId="620E321A" w14:textId="77777777" w:rsidTr="004F3CA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A4BF1" w14:textId="77777777" w:rsidR="009A2A05" w:rsidRPr="00067ECB" w:rsidRDefault="009A2A05" w:rsidP="009A2A05">
            <w:pPr>
              <w:rPr>
                <w:rFonts w:cs="Arial"/>
                <w:b/>
                <w:szCs w:val="22"/>
              </w:rPr>
            </w:pPr>
            <w:r w:rsidRPr="00067ECB">
              <w:rPr>
                <w:rFonts w:cs="Arial"/>
                <w:b/>
                <w:szCs w:val="22"/>
              </w:rPr>
              <w:t xml:space="preserve">SECTION </w:t>
            </w:r>
            <w:r>
              <w:rPr>
                <w:rFonts w:cs="Arial"/>
                <w:b/>
                <w:szCs w:val="22"/>
              </w:rPr>
              <w:t>B</w:t>
            </w:r>
            <w:r w:rsidRPr="00067ECB">
              <w:rPr>
                <w:rFonts w:cs="Arial"/>
                <w:b/>
                <w:szCs w:val="22"/>
              </w:rPr>
              <w:t>: NONORGANIC</w:t>
            </w:r>
            <w:r>
              <w:rPr>
                <w:rFonts w:cs="Arial"/>
                <w:b/>
                <w:szCs w:val="22"/>
              </w:rPr>
              <w:t xml:space="preserve"> INGREDIENTS &amp; PROCESSING AIDS</w:t>
            </w:r>
          </w:p>
          <w:p w14:paraId="777031BE" w14:textId="77777777" w:rsidR="009A2A05" w:rsidRPr="00E048A0" w:rsidRDefault="009A2A05" w:rsidP="009A2A05">
            <w:pPr>
              <w:rPr>
                <w:rFonts w:cs="Arial"/>
                <w:bCs w:val="0"/>
                <w:sz w:val="20"/>
                <w:szCs w:val="20"/>
              </w:rPr>
            </w:pPr>
            <w:r w:rsidRPr="00E048A0">
              <w:rPr>
                <w:rFonts w:cs="Arial"/>
                <w:bCs w:val="0"/>
                <w:sz w:val="20"/>
                <w:szCs w:val="20"/>
              </w:rPr>
              <w:t xml:space="preserve">For a current list of CAN/CGSB 32.311-2020 Permitted Substances List, go to: </w:t>
            </w:r>
            <w:hyperlink r:id="rId11" w:history="1">
              <w:r w:rsidRPr="00E048A0">
                <w:rPr>
                  <w:rStyle w:val="Hyperlink"/>
                  <w:rFonts w:cs="Arial"/>
                  <w:bCs w:val="0"/>
                  <w:sz w:val="20"/>
                  <w:szCs w:val="20"/>
                </w:rPr>
                <w:t>http://www.publications.gc.ca/site/eng/9.894398/publication.html</w:t>
              </w:r>
            </w:hyperlink>
          </w:p>
          <w:p w14:paraId="26313405" w14:textId="77777777" w:rsidR="009A2A05" w:rsidRPr="00067ECB" w:rsidRDefault="009A2A05" w:rsidP="009A2A05">
            <w:pPr>
              <w:jc w:val="both"/>
              <w:rPr>
                <w:rFonts w:cs="Arial"/>
                <w:szCs w:val="22"/>
              </w:rPr>
            </w:pPr>
          </w:p>
          <w:p w14:paraId="48A5702B" w14:textId="77777777" w:rsidR="009A2A05" w:rsidRPr="00067ECB" w:rsidRDefault="009A2A05" w:rsidP="009A2A05">
            <w:pPr>
              <w:numPr>
                <w:ilvl w:val="0"/>
                <w:numId w:val="19"/>
              </w:numPr>
              <w:ind w:left="360"/>
              <w:jc w:val="both"/>
              <w:rPr>
                <w:rFonts w:cs="Arial"/>
                <w:szCs w:val="22"/>
              </w:rPr>
            </w:pPr>
            <w:r w:rsidRPr="00067ECB">
              <w:rPr>
                <w:rFonts w:cs="Arial"/>
                <w:szCs w:val="22"/>
              </w:rPr>
              <w:t xml:space="preserve">Nonorganic </w:t>
            </w:r>
            <w:r w:rsidRPr="00067ECB">
              <w:rPr>
                <w:rFonts w:cs="Arial"/>
                <w:i/>
                <w:iCs w:val="0"/>
                <w:szCs w:val="22"/>
              </w:rPr>
              <w:t xml:space="preserve">nonagricultural </w:t>
            </w:r>
            <w:r w:rsidRPr="00067ECB">
              <w:rPr>
                <w:rFonts w:cs="Arial"/>
                <w:szCs w:val="22"/>
              </w:rPr>
              <w:t xml:space="preserve">substances used as ingredients or processing aids are allowed only when produced in accordance with the restrictions specified in </w:t>
            </w:r>
            <w:r w:rsidRPr="00067ECB">
              <w:rPr>
                <w:rFonts w:eastAsia="Calibri" w:cs="Arial"/>
                <w:bCs w:val="0"/>
                <w:szCs w:val="22"/>
              </w:rPr>
              <w:t>CAN/CGSB-32.310, Section 9.2</w:t>
            </w:r>
            <w:r w:rsidRPr="00067ECB">
              <w:rPr>
                <w:rFonts w:cs="Arial"/>
                <w:szCs w:val="22"/>
              </w:rPr>
              <w:t xml:space="preserve"> and per the Permitted Substances list.  </w:t>
            </w:r>
          </w:p>
          <w:p w14:paraId="0DCCFEFC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szCs w:val="22"/>
              </w:rPr>
            </w:pPr>
          </w:p>
          <w:p w14:paraId="0C5EC977" w14:textId="77777777" w:rsidR="009A2A05" w:rsidRDefault="009A2A05" w:rsidP="009A2A05">
            <w:pPr>
              <w:ind w:left="720"/>
              <w:jc w:val="both"/>
              <w:rPr>
                <w:color w:val="231F20"/>
                <w:szCs w:val="22"/>
              </w:rPr>
            </w:pPr>
            <w:r w:rsidRPr="00111C60">
              <w:rPr>
                <w:rFonts w:cs="Arial"/>
                <w:b/>
                <w:bCs w:val="0"/>
                <w:i/>
                <w:iCs w:val="0"/>
                <w:szCs w:val="22"/>
              </w:rPr>
              <w:t xml:space="preserve">For each nonagricultural </w:t>
            </w:r>
            <w:r>
              <w:rPr>
                <w:rFonts w:cs="Arial"/>
                <w:b/>
                <w:bCs w:val="0"/>
                <w:i/>
                <w:iCs w:val="0"/>
                <w:szCs w:val="22"/>
              </w:rPr>
              <w:t xml:space="preserve">ingredient/processing aid </w:t>
            </w:r>
            <w:r w:rsidRPr="00111C60">
              <w:rPr>
                <w:rFonts w:cs="Arial"/>
                <w:b/>
                <w:bCs w:val="0"/>
                <w:i/>
                <w:iCs w:val="0"/>
                <w:szCs w:val="22"/>
              </w:rPr>
              <w:t>listed in Section A</w:t>
            </w:r>
            <w:r>
              <w:rPr>
                <w:rFonts w:cs="Arial"/>
                <w:b/>
                <w:bCs w:val="0"/>
                <w:i/>
                <w:iCs w:val="0"/>
                <w:szCs w:val="22"/>
              </w:rPr>
              <w:t xml:space="preserve"> </w:t>
            </w:r>
            <w:r w:rsidRPr="00111C60">
              <w:rPr>
                <w:rFonts w:cs="Arial"/>
                <w:b/>
                <w:i/>
                <w:szCs w:val="22"/>
              </w:rPr>
              <w:t>of the Organic Product Profile</w:t>
            </w:r>
            <w:r>
              <w:rPr>
                <w:rFonts w:cs="Arial"/>
                <w:b/>
                <w:i/>
                <w:szCs w:val="22"/>
              </w:rPr>
              <w:t>(</w:t>
            </w:r>
            <w:r w:rsidRPr="00111C60">
              <w:rPr>
                <w:rFonts w:cs="Arial"/>
                <w:b/>
                <w:i/>
                <w:szCs w:val="22"/>
              </w:rPr>
              <w:t>s</w:t>
            </w:r>
            <w:r>
              <w:rPr>
                <w:rFonts w:cs="Arial"/>
                <w:b/>
                <w:i/>
                <w:szCs w:val="22"/>
              </w:rPr>
              <w:t>)</w:t>
            </w:r>
            <w:r w:rsidRPr="00067ECB">
              <w:rPr>
                <w:rFonts w:cs="Arial"/>
                <w:szCs w:val="22"/>
              </w:rPr>
              <w:t>, attach written verification from each supplier, including signature and date, attesting that the ingredient or processing aid was produced or handled 1)</w:t>
            </w:r>
            <w:r w:rsidRPr="00067ECB">
              <w:rPr>
                <w:color w:val="231F20"/>
                <w:szCs w:val="22"/>
              </w:rPr>
              <w:t xml:space="preserve"> without any products of and materials from genetic engineering (GE), as defined in CAN/CGSB-32.310, and as specified in 4.1.3, 5.1.2 and 6.2.1 of</w:t>
            </w:r>
            <w:r w:rsidRPr="00067ECB">
              <w:rPr>
                <w:color w:val="231F20"/>
                <w:spacing w:val="-16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CAN/CGSB-32.311; 2) without any products, materials or processes intentionally using nanotechnology, as defined in CAN/CGSB-32.310, with the following</w:t>
            </w:r>
            <w:r w:rsidRPr="00067ECB">
              <w:rPr>
                <w:color w:val="231F20"/>
                <w:spacing w:val="-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exceptions: naturally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occurring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nano-sized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particles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or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those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produced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incidentally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through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processes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such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as</w:t>
            </w:r>
            <w:r w:rsidRPr="00067ECB">
              <w:rPr>
                <w:color w:val="231F20"/>
                <w:spacing w:val="-1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grinding flour; contact surfaces, such as equipment, work surfaces, or packaging, where transference of nano-sized particles to organic crops, livestock or products is unintended and unlikely to</w:t>
            </w:r>
            <w:r w:rsidRPr="00067ECB">
              <w:rPr>
                <w:color w:val="231F20"/>
                <w:spacing w:val="-2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occur; 3) without irradiation, as defined in CAN/CGSB 32.310 for the treatment of organic products and inputs used in the production of organic products, except as specified in</w:t>
            </w:r>
            <w:r w:rsidRPr="00067ECB">
              <w:rPr>
                <w:color w:val="231F20"/>
                <w:spacing w:val="-16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 xml:space="preserve">CAN/CGSB-32.311; 4) without cloned livestock and its descendants; 5) </w:t>
            </w:r>
            <w:r w:rsidRPr="00067ECB">
              <w:rPr>
                <w:szCs w:val="22"/>
              </w:rPr>
              <w:t xml:space="preserve">without </w:t>
            </w:r>
            <w:r w:rsidRPr="00067ECB">
              <w:rPr>
                <w:color w:val="231F20"/>
                <w:szCs w:val="22"/>
              </w:rPr>
              <w:t>equipment, harvest and storage containers, storage facilities and packaging materials treated with fungicides, preservatives, fumigants and</w:t>
            </w:r>
            <w:r w:rsidRPr="00067ECB">
              <w:rPr>
                <w:color w:val="231F20"/>
                <w:spacing w:val="-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pesticides not listed in CAN/CGSB-32.311, except as permitted in 8.2.3 and 8.3.3 of CAN/CGSB-32.310;  6) without sewage</w:t>
            </w:r>
            <w:r w:rsidRPr="00067ECB">
              <w:rPr>
                <w:color w:val="231F20"/>
                <w:spacing w:val="-1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sludge;</w:t>
            </w:r>
            <w:r w:rsidRPr="00067ECB">
              <w:rPr>
                <w:szCs w:val="22"/>
              </w:rPr>
              <w:t xml:space="preserve"> 7) without non-organic </w:t>
            </w:r>
            <w:r w:rsidRPr="00067ECB">
              <w:rPr>
                <w:color w:val="231F20"/>
                <w:szCs w:val="22"/>
              </w:rPr>
              <w:t xml:space="preserve">ingredients, food additives and processing aids, including sulphates, </w:t>
            </w:r>
            <w:proofErr w:type="spellStart"/>
            <w:r w:rsidRPr="00067ECB">
              <w:rPr>
                <w:color w:val="231F20"/>
                <w:szCs w:val="22"/>
              </w:rPr>
              <w:t>sulphites</w:t>
            </w:r>
            <w:proofErr w:type="spellEnd"/>
            <w:r w:rsidRPr="00067ECB">
              <w:rPr>
                <w:color w:val="231F20"/>
                <w:szCs w:val="22"/>
              </w:rPr>
              <w:t>, nitrates and nitrites, except as permitted by this standard or specified in</w:t>
            </w:r>
            <w:r w:rsidRPr="00067ECB">
              <w:rPr>
                <w:color w:val="231F20"/>
                <w:spacing w:val="-16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CAN/CGSB-32.311;</w:t>
            </w:r>
            <w:r w:rsidRPr="00067ECB">
              <w:rPr>
                <w:szCs w:val="22"/>
              </w:rPr>
              <w:t xml:space="preserve"> 6)</w:t>
            </w:r>
            <w:r w:rsidRPr="00067ECB">
              <w:rPr>
                <w:color w:val="231F20"/>
                <w:szCs w:val="22"/>
              </w:rPr>
              <w:t>;</w:t>
            </w:r>
            <w:r w:rsidRPr="00067ECB">
              <w:rPr>
                <w:szCs w:val="22"/>
              </w:rPr>
              <w:t xml:space="preserve"> and 7) without </w:t>
            </w:r>
            <w:r w:rsidRPr="00067ECB">
              <w:rPr>
                <w:color w:val="231F20"/>
                <w:szCs w:val="22"/>
              </w:rPr>
              <w:t>substances that are not listed in CAN/CGSB-32.311, except as permitted in this</w:t>
            </w:r>
            <w:r w:rsidRPr="00067ECB">
              <w:rPr>
                <w:color w:val="231F20"/>
                <w:spacing w:val="-16"/>
                <w:szCs w:val="22"/>
              </w:rPr>
              <w:t xml:space="preserve"> </w:t>
            </w:r>
            <w:r w:rsidRPr="00067ECB">
              <w:rPr>
                <w:color w:val="231F20"/>
                <w:szCs w:val="22"/>
              </w:rPr>
              <w:t>standard.</w:t>
            </w:r>
          </w:p>
          <w:p w14:paraId="2B638B63" w14:textId="77777777" w:rsidR="009A2A05" w:rsidRPr="00067ECB" w:rsidRDefault="009A2A05" w:rsidP="009A2A05">
            <w:pPr>
              <w:ind w:left="720"/>
              <w:jc w:val="both"/>
              <w:rPr>
                <w:color w:val="231F20"/>
                <w:szCs w:val="22"/>
              </w:rPr>
            </w:pPr>
          </w:p>
          <w:p w14:paraId="24E70E70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b/>
                <w:bCs w:val="0"/>
                <w:iCs w:val="0"/>
                <w:szCs w:val="22"/>
              </w:rPr>
            </w:pPr>
            <w:r w:rsidRPr="00067ECB">
              <w:rPr>
                <w:rFonts w:cs="Arial"/>
                <w:b/>
                <w:bCs w:val="0"/>
                <w:i/>
                <w:szCs w:val="22"/>
              </w:rPr>
              <w:t>Section D, QCS Ingredient and Excluded Methods Disclosure</w:t>
            </w:r>
            <w:r w:rsidRPr="00067ECB">
              <w:rPr>
                <w:rFonts w:cs="Arial"/>
                <w:b/>
                <w:bCs w:val="0"/>
                <w:iCs w:val="0"/>
                <w:szCs w:val="22"/>
              </w:rPr>
              <w:t xml:space="preserve"> may be completed by the supplier as the written verification described </w:t>
            </w:r>
            <w:proofErr w:type="gramStart"/>
            <w:r w:rsidRPr="00067ECB">
              <w:rPr>
                <w:rFonts w:cs="Arial"/>
                <w:b/>
                <w:bCs w:val="0"/>
                <w:iCs w:val="0"/>
                <w:szCs w:val="22"/>
              </w:rPr>
              <w:t>above, and</w:t>
            </w:r>
            <w:proofErr w:type="gramEnd"/>
            <w:r w:rsidRPr="00067ECB">
              <w:rPr>
                <w:rFonts w:cs="Arial"/>
                <w:b/>
                <w:bCs w:val="0"/>
                <w:iCs w:val="0"/>
                <w:szCs w:val="22"/>
              </w:rPr>
              <w:t xml:space="preserve"> submitted with your application for compliance review by QCS.</w:t>
            </w:r>
          </w:p>
          <w:p w14:paraId="4F219E60" w14:textId="77777777" w:rsidR="009A2A05" w:rsidRDefault="009A2A05" w:rsidP="009A2A05">
            <w:pPr>
              <w:ind w:left="720"/>
              <w:jc w:val="both"/>
              <w:rPr>
                <w:rFonts w:cs="Arial"/>
                <w:bCs w:val="0"/>
                <w:iCs w:val="0"/>
                <w:szCs w:val="22"/>
              </w:rPr>
            </w:pPr>
          </w:p>
          <w:p w14:paraId="57C5B1D9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bCs w:val="0"/>
                <w:iCs w:val="0"/>
                <w:szCs w:val="22"/>
              </w:rPr>
            </w:pPr>
            <w:r w:rsidRPr="00067ECB">
              <w:rPr>
                <w:rFonts w:cs="Arial"/>
                <w:bCs w:val="0"/>
                <w:i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ECB">
              <w:rPr>
                <w:rFonts w:cs="Arial"/>
                <w:bCs w:val="0"/>
                <w:iCs w:val="0"/>
                <w:szCs w:val="22"/>
              </w:rPr>
              <w:instrText xml:space="preserve"> FORMCHECKBOX </w:instrText>
            </w:r>
            <w:r w:rsidR="00AE4FA8">
              <w:rPr>
                <w:rFonts w:cs="Arial"/>
                <w:bCs w:val="0"/>
                <w:iCs w:val="0"/>
                <w:szCs w:val="22"/>
              </w:rPr>
            </w:r>
            <w:r w:rsidR="00AE4FA8">
              <w:rPr>
                <w:rFonts w:cs="Arial"/>
                <w:bCs w:val="0"/>
                <w:iCs w:val="0"/>
                <w:szCs w:val="22"/>
              </w:rPr>
              <w:fldChar w:fldCharType="separate"/>
            </w:r>
            <w:r w:rsidRPr="00067ECB">
              <w:rPr>
                <w:rFonts w:cs="Arial"/>
                <w:bCs w:val="0"/>
                <w:iCs w:val="0"/>
                <w:szCs w:val="22"/>
              </w:rPr>
              <w:fldChar w:fldCharType="end"/>
            </w:r>
            <w:r w:rsidRPr="00067ECB">
              <w:rPr>
                <w:rFonts w:cs="Arial"/>
                <w:bCs w:val="0"/>
                <w:iCs w:val="0"/>
                <w:szCs w:val="22"/>
              </w:rPr>
              <w:t xml:space="preserve">  N/A    </w:t>
            </w:r>
            <w:r w:rsidRPr="00067ECB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ECB">
              <w:rPr>
                <w:rFonts w:cs="Arial"/>
                <w:szCs w:val="22"/>
              </w:rPr>
              <w:instrText xml:space="preserve"> FORMCHECKBOX </w:instrText>
            </w:r>
            <w:r w:rsidR="00AE4FA8">
              <w:rPr>
                <w:rFonts w:cs="Arial"/>
                <w:szCs w:val="22"/>
              </w:rPr>
            </w:r>
            <w:r w:rsidR="00AE4FA8">
              <w:rPr>
                <w:rFonts w:cs="Arial"/>
                <w:szCs w:val="22"/>
              </w:rPr>
              <w:fldChar w:fldCharType="separate"/>
            </w:r>
            <w:r w:rsidRPr="00067ECB">
              <w:rPr>
                <w:rFonts w:cs="Arial"/>
                <w:szCs w:val="22"/>
              </w:rPr>
              <w:fldChar w:fldCharType="end"/>
            </w:r>
            <w:r w:rsidRPr="00067ECB">
              <w:rPr>
                <w:rFonts w:cs="Arial"/>
                <w:szCs w:val="22"/>
              </w:rPr>
              <w:t xml:space="preserve"> Attachment  </w:t>
            </w:r>
          </w:p>
          <w:p w14:paraId="5644BE07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b/>
                <w:bCs w:val="0"/>
                <w:iCs w:val="0"/>
                <w:szCs w:val="22"/>
              </w:rPr>
            </w:pPr>
          </w:p>
          <w:p w14:paraId="263AF779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b/>
                <w:bCs w:val="0"/>
                <w:iCs w:val="0"/>
                <w:szCs w:val="22"/>
              </w:rPr>
            </w:pPr>
          </w:p>
          <w:p w14:paraId="3F34AA22" w14:textId="77777777" w:rsidR="009A2A05" w:rsidRPr="00067ECB" w:rsidRDefault="009A2A05" w:rsidP="009A2A05">
            <w:pPr>
              <w:numPr>
                <w:ilvl w:val="0"/>
                <w:numId w:val="19"/>
              </w:numPr>
              <w:ind w:left="360"/>
              <w:jc w:val="both"/>
              <w:rPr>
                <w:rFonts w:cs="Arial"/>
                <w:bCs w:val="0"/>
                <w:iCs w:val="0"/>
                <w:szCs w:val="22"/>
              </w:rPr>
            </w:pPr>
            <w:r w:rsidRPr="00067ECB">
              <w:rPr>
                <w:rFonts w:cs="Arial"/>
                <w:szCs w:val="22"/>
              </w:rPr>
              <w:t>Nonorganic</w:t>
            </w:r>
            <w:r w:rsidRPr="00067ECB">
              <w:rPr>
                <w:rFonts w:cs="Arial"/>
                <w:i/>
                <w:iCs w:val="0"/>
                <w:szCs w:val="22"/>
              </w:rPr>
              <w:t xml:space="preserve"> agricultural</w:t>
            </w:r>
            <w:r w:rsidRPr="00067ECB">
              <w:rPr>
                <w:rFonts w:cs="Arial"/>
                <w:szCs w:val="22"/>
              </w:rPr>
              <w:t xml:space="preserve"> substances used as ingredients or processing aids are allowed only when an organic form is not commercially available and require documentation confirming compliance with CAN/CGSB-32.310, clause 1.4 (a), 1.4 (c) and 1.4 (d) (regarding genetic engineering, </w:t>
            </w:r>
            <w:proofErr w:type="gramStart"/>
            <w:r w:rsidRPr="00067ECB">
              <w:rPr>
                <w:rFonts w:cs="Arial"/>
                <w:szCs w:val="22"/>
              </w:rPr>
              <w:t>irradiation</w:t>
            </w:r>
            <w:proofErr w:type="gramEnd"/>
            <w:r w:rsidRPr="00067ECB">
              <w:rPr>
                <w:rFonts w:cs="Arial"/>
                <w:szCs w:val="22"/>
              </w:rPr>
              <w:t xml:space="preserve"> and cloned livestock respectively).  </w:t>
            </w:r>
            <w:r w:rsidRPr="00067ECB">
              <w:rPr>
                <w:rFonts w:cs="Arial"/>
                <w:bCs w:val="0"/>
                <w:iCs w:val="0"/>
                <w:szCs w:val="22"/>
              </w:rPr>
              <w:t>Please contact the QCS office for description of determination of commercial availability if needed.</w:t>
            </w:r>
          </w:p>
          <w:p w14:paraId="626FB7A3" w14:textId="77777777" w:rsidR="009A2A05" w:rsidRPr="00067ECB" w:rsidRDefault="009A2A05" w:rsidP="009A2A05">
            <w:pPr>
              <w:jc w:val="both"/>
              <w:rPr>
                <w:rFonts w:cs="Arial"/>
                <w:bCs w:val="0"/>
                <w:iCs w:val="0"/>
                <w:szCs w:val="22"/>
              </w:rPr>
            </w:pPr>
          </w:p>
          <w:p w14:paraId="72E4C785" w14:textId="77777777" w:rsidR="009A2A05" w:rsidRDefault="009A2A05" w:rsidP="009A2A05">
            <w:pPr>
              <w:ind w:left="720"/>
              <w:jc w:val="both"/>
              <w:rPr>
                <w:rFonts w:cs="Arial"/>
                <w:bCs w:val="0"/>
                <w:iCs w:val="0"/>
                <w:szCs w:val="22"/>
              </w:rPr>
            </w:pPr>
            <w:r w:rsidRPr="00111C60">
              <w:rPr>
                <w:rFonts w:cs="Arial"/>
                <w:b/>
                <w:i/>
                <w:szCs w:val="22"/>
              </w:rPr>
              <w:t>For each nonorganic agricultural ingredient</w:t>
            </w:r>
            <w:r>
              <w:rPr>
                <w:rFonts w:cs="Arial"/>
                <w:b/>
                <w:i/>
                <w:szCs w:val="22"/>
              </w:rPr>
              <w:t>/</w:t>
            </w:r>
            <w:r w:rsidRPr="00111C60">
              <w:rPr>
                <w:rFonts w:cs="Arial"/>
                <w:b/>
                <w:i/>
                <w:szCs w:val="22"/>
              </w:rPr>
              <w:t>processing aid listed in Section A of the Organic Product Profile</w:t>
            </w:r>
            <w:r>
              <w:rPr>
                <w:rFonts w:cs="Arial"/>
                <w:b/>
                <w:i/>
                <w:szCs w:val="22"/>
              </w:rPr>
              <w:t>(</w:t>
            </w:r>
            <w:r w:rsidRPr="00111C60">
              <w:rPr>
                <w:rFonts w:cs="Arial"/>
                <w:b/>
                <w:i/>
                <w:szCs w:val="22"/>
              </w:rPr>
              <w:t>s</w:t>
            </w:r>
            <w:r>
              <w:rPr>
                <w:rFonts w:cs="Arial"/>
                <w:b/>
                <w:i/>
                <w:szCs w:val="22"/>
              </w:rPr>
              <w:t>)</w:t>
            </w:r>
            <w:r w:rsidRPr="00067ECB">
              <w:rPr>
                <w:rFonts w:cs="Arial"/>
                <w:bCs w:val="0"/>
                <w:iCs w:val="0"/>
                <w:szCs w:val="22"/>
              </w:rPr>
              <w:t xml:space="preserve">, supply written verification that the product was not commercially available organically.    </w:t>
            </w:r>
          </w:p>
          <w:p w14:paraId="4DC73B51" w14:textId="77777777" w:rsidR="009A2A05" w:rsidRDefault="009A2A05" w:rsidP="009A2A05">
            <w:pPr>
              <w:ind w:left="720"/>
              <w:jc w:val="both"/>
              <w:rPr>
                <w:rFonts w:cs="Arial"/>
                <w:bCs w:val="0"/>
                <w:iCs w:val="0"/>
                <w:szCs w:val="22"/>
              </w:rPr>
            </w:pPr>
          </w:p>
          <w:p w14:paraId="6F3B71F5" w14:textId="77777777" w:rsidR="009A2A05" w:rsidRPr="00067ECB" w:rsidRDefault="009A2A05" w:rsidP="009A2A05">
            <w:pPr>
              <w:ind w:left="720"/>
              <w:jc w:val="both"/>
              <w:rPr>
                <w:rFonts w:cs="Arial"/>
                <w:bCs w:val="0"/>
                <w:iCs w:val="0"/>
                <w:szCs w:val="22"/>
              </w:rPr>
            </w:pPr>
            <w:r w:rsidRPr="00067ECB">
              <w:rPr>
                <w:rFonts w:cs="Arial"/>
                <w:bCs w:val="0"/>
                <w:i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ECB">
              <w:rPr>
                <w:rFonts w:cs="Arial"/>
                <w:bCs w:val="0"/>
                <w:iCs w:val="0"/>
                <w:szCs w:val="22"/>
              </w:rPr>
              <w:instrText xml:space="preserve"> FORMCHECKBOX </w:instrText>
            </w:r>
            <w:r w:rsidR="00AE4FA8">
              <w:rPr>
                <w:rFonts w:cs="Arial"/>
                <w:bCs w:val="0"/>
                <w:iCs w:val="0"/>
                <w:szCs w:val="22"/>
              </w:rPr>
            </w:r>
            <w:r w:rsidR="00AE4FA8">
              <w:rPr>
                <w:rFonts w:cs="Arial"/>
                <w:bCs w:val="0"/>
                <w:iCs w:val="0"/>
                <w:szCs w:val="22"/>
              </w:rPr>
              <w:fldChar w:fldCharType="separate"/>
            </w:r>
            <w:r w:rsidRPr="00067ECB">
              <w:rPr>
                <w:rFonts w:cs="Arial"/>
                <w:bCs w:val="0"/>
                <w:iCs w:val="0"/>
                <w:szCs w:val="22"/>
              </w:rPr>
              <w:fldChar w:fldCharType="end"/>
            </w:r>
            <w:r w:rsidRPr="00067ECB">
              <w:rPr>
                <w:rFonts w:cs="Arial"/>
                <w:bCs w:val="0"/>
                <w:iCs w:val="0"/>
                <w:szCs w:val="22"/>
              </w:rPr>
              <w:t xml:space="preserve">  N/A    </w:t>
            </w:r>
            <w:r w:rsidRPr="00067ECB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ECB">
              <w:rPr>
                <w:rFonts w:cs="Arial"/>
                <w:szCs w:val="22"/>
              </w:rPr>
              <w:instrText xml:space="preserve"> FORMCHECKBOX </w:instrText>
            </w:r>
            <w:r w:rsidR="00AE4FA8">
              <w:rPr>
                <w:rFonts w:cs="Arial"/>
                <w:szCs w:val="22"/>
              </w:rPr>
            </w:r>
            <w:r w:rsidR="00AE4FA8">
              <w:rPr>
                <w:rFonts w:cs="Arial"/>
                <w:szCs w:val="22"/>
              </w:rPr>
              <w:fldChar w:fldCharType="separate"/>
            </w:r>
            <w:r w:rsidRPr="00067ECB">
              <w:rPr>
                <w:rFonts w:cs="Arial"/>
                <w:szCs w:val="22"/>
              </w:rPr>
              <w:fldChar w:fldCharType="end"/>
            </w:r>
            <w:r w:rsidRPr="00067ECB">
              <w:rPr>
                <w:rFonts w:cs="Arial"/>
                <w:szCs w:val="22"/>
              </w:rPr>
              <w:t xml:space="preserve"> Attachment  </w:t>
            </w:r>
          </w:p>
          <w:p w14:paraId="568FB48C" w14:textId="77777777" w:rsidR="009A2A05" w:rsidRPr="00067ECB" w:rsidRDefault="009A2A05" w:rsidP="009A2A05">
            <w:pPr>
              <w:rPr>
                <w:rFonts w:cs="Arial"/>
                <w:bCs w:val="0"/>
                <w:szCs w:val="22"/>
              </w:rPr>
            </w:pPr>
          </w:p>
        </w:tc>
      </w:tr>
    </w:tbl>
    <w:p w14:paraId="0A4983A6" w14:textId="77777777" w:rsidR="00440FA9" w:rsidRDefault="00440FA9" w:rsidP="004F3CA2"/>
    <w:sectPr w:rsidR="00440FA9" w:rsidSect="004F3CA2">
      <w:headerReference w:type="default" r:id="rId12"/>
      <w:footerReference w:type="even" r:id="rId13"/>
      <w:footerReference w:type="default" r:id="rId14"/>
      <w:pgSz w:w="12240" w:h="15840" w:code="1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99F2C" w14:textId="77777777" w:rsidR="00480776" w:rsidRDefault="00480776" w:rsidP="00B04274">
      <w:r>
        <w:separator/>
      </w:r>
    </w:p>
    <w:p w14:paraId="393C3E0A" w14:textId="77777777" w:rsidR="00480776" w:rsidRDefault="00480776" w:rsidP="00B04274"/>
  </w:endnote>
  <w:endnote w:type="continuationSeparator" w:id="0">
    <w:p w14:paraId="3D616DD6" w14:textId="77777777" w:rsidR="00480776" w:rsidRDefault="00480776" w:rsidP="00B04274">
      <w:r>
        <w:continuationSeparator/>
      </w:r>
    </w:p>
    <w:p w14:paraId="5DBF7871" w14:textId="77777777" w:rsidR="00480776" w:rsidRDefault="00480776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57" w14:textId="2675B3B0" w:rsidR="009742F2" w:rsidRPr="009742F2" w:rsidRDefault="009742F2" w:rsidP="009742F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9742F2">
      <w:rPr>
        <w:rFonts w:ascii="Garamond" w:hAnsi="Garamond" w:cs="Calibri"/>
        <w:sz w:val="20"/>
        <w:szCs w:val="20"/>
        <w:lang w:val="en-US"/>
      </w:rPr>
      <w:t>1C4C0</w:t>
    </w:r>
    <w:r w:rsidR="00F50273">
      <w:rPr>
        <w:rFonts w:ascii="Garamond" w:hAnsi="Garamond" w:cs="Calibri"/>
        <w:sz w:val="20"/>
        <w:szCs w:val="20"/>
        <w:lang w:val="en-US"/>
      </w:rPr>
      <w:t>3</w:t>
    </w:r>
    <w:r w:rsidR="009729ED">
      <w:rPr>
        <w:rFonts w:ascii="Garamond" w:hAnsi="Garamond" w:cs="Calibri"/>
        <w:sz w:val="20"/>
        <w:szCs w:val="20"/>
        <w:lang w:val="en-US"/>
      </w:rPr>
      <w:t>B</w:t>
    </w:r>
    <w:r w:rsidRPr="009742F2">
      <w:rPr>
        <w:rFonts w:ascii="Garamond" w:hAnsi="Garamond" w:cs="Calibri"/>
        <w:sz w:val="20"/>
        <w:szCs w:val="20"/>
        <w:lang w:val="en-US"/>
      </w:rPr>
      <w:t>, V1, R5, 01/13/2023</w:t>
    </w:r>
    <w:r w:rsidRPr="009742F2">
      <w:rPr>
        <w:rFonts w:ascii="Garamond" w:hAnsi="Garamond"/>
        <w:sz w:val="20"/>
        <w:szCs w:val="20"/>
        <w:lang w:val="en-US"/>
      </w:rPr>
      <w:t xml:space="preserve"> </w:t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  <w:lang w:val="en-US"/>
      </w:rPr>
      <w:tab/>
    </w:r>
    <w:r w:rsidRPr="009742F2">
      <w:rPr>
        <w:rFonts w:ascii="Garamond" w:hAnsi="Garamond"/>
        <w:sz w:val="20"/>
        <w:szCs w:val="20"/>
      </w:rPr>
      <w:t xml:space="preserve">Page </w:t>
    </w:r>
    <w:r w:rsidRPr="009742F2">
      <w:rPr>
        <w:rFonts w:ascii="Garamond" w:hAnsi="Garamond"/>
        <w:b/>
        <w:bCs w:val="0"/>
        <w:sz w:val="20"/>
        <w:szCs w:val="20"/>
      </w:rPr>
      <w:fldChar w:fldCharType="begin"/>
    </w:r>
    <w:r w:rsidRPr="009742F2">
      <w:rPr>
        <w:rFonts w:ascii="Garamond" w:hAnsi="Garamond"/>
        <w:b/>
        <w:sz w:val="20"/>
        <w:szCs w:val="20"/>
      </w:rPr>
      <w:instrText xml:space="preserve"> PAGE </w:instrText>
    </w:r>
    <w:r w:rsidRPr="009742F2">
      <w:rPr>
        <w:rFonts w:ascii="Garamond" w:hAnsi="Garamond"/>
        <w:b/>
        <w:bCs w:val="0"/>
        <w:sz w:val="20"/>
        <w:szCs w:val="20"/>
      </w:rPr>
      <w:fldChar w:fldCharType="separate"/>
    </w:r>
    <w:r w:rsidRPr="009742F2">
      <w:rPr>
        <w:rFonts w:ascii="Garamond" w:hAnsi="Garamond"/>
        <w:b/>
        <w:noProof/>
        <w:sz w:val="20"/>
        <w:szCs w:val="20"/>
      </w:rPr>
      <w:t>2</w:t>
    </w:r>
    <w:r w:rsidRPr="009742F2">
      <w:rPr>
        <w:rFonts w:ascii="Garamond" w:hAnsi="Garamond"/>
        <w:b/>
        <w:bCs w:val="0"/>
        <w:sz w:val="20"/>
        <w:szCs w:val="20"/>
      </w:rPr>
      <w:fldChar w:fldCharType="end"/>
    </w:r>
    <w:r w:rsidRPr="009742F2">
      <w:rPr>
        <w:rFonts w:ascii="Garamond" w:hAnsi="Garamond"/>
        <w:sz w:val="20"/>
        <w:szCs w:val="20"/>
      </w:rPr>
      <w:t xml:space="preserve"> of </w:t>
    </w:r>
    <w:r w:rsidRPr="009742F2">
      <w:rPr>
        <w:rFonts w:ascii="Garamond" w:hAnsi="Garamond"/>
        <w:b/>
        <w:bCs w:val="0"/>
        <w:sz w:val="20"/>
        <w:szCs w:val="20"/>
      </w:rPr>
      <w:fldChar w:fldCharType="begin"/>
    </w:r>
    <w:r w:rsidRPr="009742F2">
      <w:rPr>
        <w:rFonts w:ascii="Garamond" w:hAnsi="Garamond"/>
        <w:b/>
        <w:sz w:val="20"/>
        <w:szCs w:val="20"/>
      </w:rPr>
      <w:instrText xml:space="preserve"> NUMPAGES  </w:instrText>
    </w:r>
    <w:r w:rsidRPr="009742F2">
      <w:rPr>
        <w:rFonts w:ascii="Garamond" w:hAnsi="Garamond"/>
        <w:b/>
        <w:bCs w:val="0"/>
        <w:sz w:val="20"/>
        <w:szCs w:val="20"/>
      </w:rPr>
      <w:fldChar w:fldCharType="separate"/>
    </w:r>
    <w:r w:rsidRPr="009742F2">
      <w:rPr>
        <w:rFonts w:ascii="Garamond" w:hAnsi="Garamond"/>
        <w:b/>
        <w:noProof/>
        <w:sz w:val="20"/>
        <w:szCs w:val="20"/>
      </w:rPr>
      <w:t>2</w:t>
    </w:r>
    <w:r w:rsidRPr="009742F2">
      <w:rPr>
        <w:rFonts w:ascii="Garamond" w:hAnsi="Garamond"/>
        <w:b/>
        <w:bCs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43F8" w14:textId="77777777" w:rsidR="00480776" w:rsidRDefault="00480776" w:rsidP="00B04274">
      <w:r>
        <w:separator/>
      </w:r>
    </w:p>
    <w:p w14:paraId="36686679" w14:textId="77777777" w:rsidR="00480776" w:rsidRDefault="00480776" w:rsidP="00B04274"/>
  </w:footnote>
  <w:footnote w:type="continuationSeparator" w:id="0">
    <w:p w14:paraId="7295F88E" w14:textId="77777777" w:rsidR="00480776" w:rsidRDefault="00480776" w:rsidP="00B04274">
      <w:r>
        <w:continuationSeparator/>
      </w:r>
    </w:p>
    <w:p w14:paraId="7E6D6362" w14:textId="77777777" w:rsidR="00480776" w:rsidRDefault="00480776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7A6" w14:textId="77777777" w:rsidR="002F21C5" w:rsidRPr="00BC637F" w:rsidRDefault="00AE4FA8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36pt;margin-top:21.6pt;width:155.3pt;height:63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CC3DAD" w:rsidRDefault="002F21C5" w:rsidP="00CC3DAD">
    <w:pPr>
      <w:jc w:val="right"/>
      <w:rPr>
        <w:rFonts w:ascii="Calibri" w:hAnsi="Calibri" w:cs="Calibri"/>
        <w:b/>
        <w:bCs w:val="0"/>
        <w:sz w:val="28"/>
        <w:szCs w:val="28"/>
      </w:rPr>
    </w:pPr>
    <w:r w:rsidRPr="00CC3DAD">
      <w:rPr>
        <w:rFonts w:ascii="Calibri" w:hAnsi="Calibri" w:cs="Calibri"/>
        <w:b/>
        <w:bCs w:val="0"/>
        <w:sz w:val="28"/>
        <w:szCs w:val="28"/>
      </w:rPr>
      <w:t>Quality Certification Services (QCS)</w:t>
    </w:r>
  </w:p>
  <w:p w14:paraId="53FBE26B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5700 SW 34th Street, Suite 349, Gainesville FL 32608</w:t>
    </w:r>
  </w:p>
  <w:p w14:paraId="0129F718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phone 352.377.0133 / fax 352.377.8363</w:t>
    </w:r>
  </w:p>
  <w:p w14:paraId="41F90D7D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www.qcsinfo.org</w:t>
    </w:r>
  </w:p>
  <w:p w14:paraId="0A874FFA" w14:textId="77777777" w:rsidR="002F21C5" w:rsidRPr="00A5636E" w:rsidRDefault="002F21C5" w:rsidP="00CC3D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39"/>
  </w:num>
  <w:num w:numId="12" w16cid:durableId="158158113">
    <w:abstractNumId w:val="21"/>
  </w:num>
  <w:num w:numId="13" w16cid:durableId="774909089">
    <w:abstractNumId w:val="25"/>
  </w:num>
  <w:num w:numId="14" w16cid:durableId="1454325673">
    <w:abstractNumId w:val="20"/>
  </w:num>
  <w:num w:numId="15" w16cid:durableId="1914073944">
    <w:abstractNumId w:val="34"/>
  </w:num>
  <w:num w:numId="16" w16cid:durableId="963661176">
    <w:abstractNumId w:val="19"/>
  </w:num>
  <w:num w:numId="17" w16cid:durableId="1048840047">
    <w:abstractNumId w:val="27"/>
  </w:num>
  <w:num w:numId="18" w16cid:durableId="1311401588">
    <w:abstractNumId w:val="32"/>
  </w:num>
  <w:num w:numId="19" w16cid:durableId="1260289607">
    <w:abstractNumId w:val="40"/>
  </w:num>
  <w:num w:numId="20" w16cid:durableId="1139880605">
    <w:abstractNumId w:val="36"/>
  </w:num>
  <w:num w:numId="21" w16cid:durableId="1540510859">
    <w:abstractNumId w:val="42"/>
  </w:num>
  <w:num w:numId="22" w16cid:durableId="544022053">
    <w:abstractNumId w:val="28"/>
  </w:num>
  <w:num w:numId="23" w16cid:durableId="801921898">
    <w:abstractNumId w:val="30"/>
  </w:num>
  <w:num w:numId="24" w16cid:durableId="1154099725">
    <w:abstractNumId w:val="13"/>
  </w:num>
  <w:num w:numId="25" w16cid:durableId="35661809">
    <w:abstractNumId w:val="35"/>
  </w:num>
  <w:num w:numId="26" w16cid:durableId="1884243404">
    <w:abstractNumId w:val="14"/>
  </w:num>
  <w:num w:numId="27" w16cid:durableId="1875000042">
    <w:abstractNumId w:val="41"/>
  </w:num>
  <w:num w:numId="28" w16cid:durableId="1377972853">
    <w:abstractNumId w:val="15"/>
  </w:num>
  <w:num w:numId="29" w16cid:durableId="13385461">
    <w:abstractNumId w:val="37"/>
  </w:num>
  <w:num w:numId="30" w16cid:durableId="2092196304">
    <w:abstractNumId w:val="10"/>
  </w:num>
  <w:num w:numId="31" w16cid:durableId="658114945">
    <w:abstractNumId w:val="24"/>
  </w:num>
  <w:num w:numId="32" w16cid:durableId="1136482638">
    <w:abstractNumId w:val="26"/>
  </w:num>
  <w:num w:numId="33" w16cid:durableId="1047947849">
    <w:abstractNumId w:val="31"/>
  </w:num>
  <w:num w:numId="34" w16cid:durableId="863831617">
    <w:abstractNumId w:val="11"/>
  </w:num>
  <w:num w:numId="35" w16cid:durableId="299043293">
    <w:abstractNumId w:val="38"/>
  </w:num>
  <w:num w:numId="36" w16cid:durableId="205260106">
    <w:abstractNumId w:val="12"/>
  </w:num>
  <w:num w:numId="37" w16cid:durableId="713195101">
    <w:abstractNumId w:val="29"/>
  </w:num>
  <w:num w:numId="38" w16cid:durableId="39331337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18"/>
  </w:num>
  <w:num w:numId="41" w16cid:durableId="3368146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33"/>
  </w:num>
  <w:num w:numId="43" w16cid:durableId="233782107">
    <w:abstractNumId w:val="22"/>
  </w:num>
  <w:num w:numId="44" w16cid:durableId="1035739919">
    <w:abstractNumId w:val="17"/>
  </w:num>
  <w:num w:numId="45" w16cid:durableId="71974841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/Gs4AjnnhV8Nrm83a+XEao8fhVyvfXvqiJk54uAiGj3BnTYa1PKOIcTmfCLsN45GHkKRJ2AS2jNhGdBwpwGvKQ==" w:salt="dLsY9FrWXmfmuCBJ1iLVPA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3E69"/>
    <w:rsid w:val="0001519A"/>
    <w:rsid w:val="00016467"/>
    <w:rsid w:val="00016665"/>
    <w:rsid w:val="0002142A"/>
    <w:rsid w:val="000239B0"/>
    <w:rsid w:val="00050453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632D"/>
    <w:rsid w:val="00094B8B"/>
    <w:rsid w:val="000A3EEA"/>
    <w:rsid w:val="000A568D"/>
    <w:rsid w:val="000B2482"/>
    <w:rsid w:val="000B2B41"/>
    <w:rsid w:val="000B3BEC"/>
    <w:rsid w:val="000B3F54"/>
    <w:rsid w:val="000C2945"/>
    <w:rsid w:val="000C3493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822"/>
    <w:rsid w:val="00127B18"/>
    <w:rsid w:val="001400C9"/>
    <w:rsid w:val="00143AB9"/>
    <w:rsid w:val="001451C4"/>
    <w:rsid w:val="001471A4"/>
    <w:rsid w:val="00147645"/>
    <w:rsid w:val="00150F5D"/>
    <w:rsid w:val="0015451F"/>
    <w:rsid w:val="00165518"/>
    <w:rsid w:val="00165A41"/>
    <w:rsid w:val="001730A8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F37"/>
    <w:rsid w:val="001D36D9"/>
    <w:rsid w:val="001D6550"/>
    <w:rsid w:val="001D6AE6"/>
    <w:rsid w:val="001D7CB8"/>
    <w:rsid w:val="001E0534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7DD2"/>
    <w:rsid w:val="00265E3C"/>
    <w:rsid w:val="00280821"/>
    <w:rsid w:val="002825D8"/>
    <w:rsid w:val="002924EF"/>
    <w:rsid w:val="002930CF"/>
    <w:rsid w:val="002979CF"/>
    <w:rsid w:val="002A4A2B"/>
    <w:rsid w:val="002A6F88"/>
    <w:rsid w:val="002B2114"/>
    <w:rsid w:val="002B2C15"/>
    <w:rsid w:val="002B46CD"/>
    <w:rsid w:val="002B7C2A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12959"/>
    <w:rsid w:val="003148EA"/>
    <w:rsid w:val="003208D0"/>
    <w:rsid w:val="00327642"/>
    <w:rsid w:val="00331998"/>
    <w:rsid w:val="0033715E"/>
    <w:rsid w:val="00344A7D"/>
    <w:rsid w:val="00354AE6"/>
    <w:rsid w:val="003568C7"/>
    <w:rsid w:val="00363788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1DD6"/>
    <w:rsid w:val="003A2CCC"/>
    <w:rsid w:val="003A5F5C"/>
    <w:rsid w:val="003B0260"/>
    <w:rsid w:val="003B3367"/>
    <w:rsid w:val="003E30C3"/>
    <w:rsid w:val="003E37DC"/>
    <w:rsid w:val="003E6B7C"/>
    <w:rsid w:val="003F0804"/>
    <w:rsid w:val="00400722"/>
    <w:rsid w:val="00402593"/>
    <w:rsid w:val="004034B1"/>
    <w:rsid w:val="00404F75"/>
    <w:rsid w:val="00405A2D"/>
    <w:rsid w:val="00406CDB"/>
    <w:rsid w:val="00406D0C"/>
    <w:rsid w:val="00411F4B"/>
    <w:rsid w:val="004122A2"/>
    <w:rsid w:val="00417B3F"/>
    <w:rsid w:val="004321EE"/>
    <w:rsid w:val="00436CE0"/>
    <w:rsid w:val="00440FA9"/>
    <w:rsid w:val="00441AEC"/>
    <w:rsid w:val="004513DD"/>
    <w:rsid w:val="00456717"/>
    <w:rsid w:val="00460643"/>
    <w:rsid w:val="00480776"/>
    <w:rsid w:val="004835CF"/>
    <w:rsid w:val="00490BCC"/>
    <w:rsid w:val="004B2055"/>
    <w:rsid w:val="004B49BC"/>
    <w:rsid w:val="004B5503"/>
    <w:rsid w:val="004C7BB5"/>
    <w:rsid w:val="004D7201"/>
    <w:rsid w:val="004D7C29"/>
    <w:rsid w:val="004E0A69"/>
    <w:rsid w:val="004E2490"/>
    <w:rsid w:val="004E68D4"/>
    <w:rsid w:val="004F0840"/>
    <w:rsid w:val="004F2FC7"/>
    <w:rsid w:val="004F3CA2"/>
    <w:rsid w:val="00503C6A"/>
    <w:rsid w:val="00504B5C"/>
    <w:rsid w:val="005114FC"/>
    <w:rsid w:val="00522918"/>
    <w:rsid w:val="00531182"/>
    <w:rsid w:val="00532ACA"/>
    <w:rsid w:val="00544883"/>
    <w:rsid w:val="005459B4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1867"/>
    <w:rsid w:val="00582B36"/>
    <w:rsid w:val="00590DF6"/>
    <w:rsid w:val="00591159"/>
    <w:rsid w:val="0059329D"/>
    <w:rsid w:val="00596874"/>
    <w:rsid w:val="00597322"/>
    <w:rsid w:val="005A26F9"/>
    <w:rsid w:val="005B171A"/>
    <w:rsid w:val="005C2B39"/>
    <w:rsid w:val="005C47BD"/>
    <w:rsid w:val="005C732F"/>
    <w:rsid w:val="005D4ED8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9DB"/>
    <w:rsid w:val="00666DDB"/>
    <w:rsid w:val="00667E48"/>
    <w:rsid w:val="00671856"/>
    <w:rsid w:val="00681F25"/>
    <w:rsid w:val="006941B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6651"/>
    <w:rsid w:val="00727102"/>
    <w:rsid w:val="00750096"/>
    <w:rsid w:val="00755E30"/>
    <w:rsid w:val="0077367F"/>
    <w:rsid w:val="0078310E"/>
    <w:rsid w:val="00783612"/>
    <w:rsid w:val="0078434F"/>
    <w:rsid w:val="00784EBC"/>
    <w:rsid w:val="007866DE"/>
    <w:rsid w:val="00791F1F"/>
    <w:rsid w:val="00793FE7"/>
    <w:rsid w:val="007A133E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F5D"/>
    <w:rsid w:val="00876E9F"/>
    <w:rsid w:val="00883F0C"/>
    <w:rsid w:val="00887DC4"/>
    <w:rsid w:val="008B31D0"/>
    <w:rsid w:val="008B3B02"/>
    <w:rsid w:val="008C44C4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03B9B"/>
    <w:rsid w:val="0091172B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5FA4"/>
    <w:rsid w:val="009729ED"/>
    <w:rsid w:val="009742F2"/>
    <w:rsid w:val="00974AC3"/>
    <w:rsid w:val="00980871"/>
    <w:rsid w:val="00985F23"/>
    <w:rsid w:val="00994AED"/>
    <w:rsid w:val="00997D90"/>
    <w:rsid w:val="00997ECB"/>
    <w:rsid w:val="009A2A05"/>
    <w:rsid w:val="009A3A51"/>
    <w:rsid w:val="009A72C4"/>
    <w:rsid w:val="009B0199"/>
    <w:rsid w:val="009B29AE"/>
    <w:rsid w:val="009C4170"/>
    <w:rsid w:val="009D414F"/>
    <w:rsid w:val="009D6959"/>
    <w:rsid w:val="009D6CA1"/>
    <w:rsid w:val="009D70C2"/>
    <w:rsid w:val="009E133E"/>
    <w:rsid w:val="00A07ABF"/>
    <w:rsid w:val="00A2007E"/>
    <w:rsid w:val="00A20C17"/>
    <w:rsid w:val="00A35510"/>
    <w:rsid w:val="00A4152D"/>
    <w:rsid w:val="00A438F6"/>
    <w:rsid w:val="00A46AD3"/>
    <w:rsid w:val="00A5353F"/>
    <w:rsid w:val="00A5636E"/>
    <w:rsid w:val="00A603A0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6B34"/>
    <w:rsid w:val="00AA02C1"/>
    <w:rsid w:val="00AA25B9"/>
    <w:rsid w:val="00AA2B04"/>
    <w:rsid w:val="00AB0937"/>
    <w:rsid w:val="00AC0740"/>
    <w:rsid w:val="00AC23B0"/>
    <w:rsid w:val="00AC311A"/>
    <w:rsid w:val="00AD1A30"/>
    <w:rsid w:val="00AE4FA8"/>
    <w:rsid w:val="00AF6E0E"/>
    <w:rsid w:val="00B04274"/>
    <w:rsid w:val="00B065BA"/>
    <w:rsid w:val="00B12010"/>
    <w:rsid w:val="00B133CC"/>
    <w:rsid w:val="00B17EA8"/>
    <w:rsid w:val="00B32884"/>
    <w:rsid w:val="00B42841"/>
    <w:rsid w:val="00B43862"/>
    <w:rsid w:val="00B50C03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70F7"/>
    <w:rsid w:val="00BC637F"/>
    <w:rsid w:val="00BD6873"/>
    <w:rsid w:val="00BD6C93"/>
    <w:rsid w:val="00BE27E1"/>
    <w:rsid w:val="00BE773C"/>
    <w:rsid w:val="00BF177E"/>
    <w:rsid w:val="00BF476A"/>
    <w:rsid w:val="00BF684C"/>
    <w:rsid w:val="00C00BFC"/>
    <w:rsid w:val="00C134B2"/>
    <w:rsid w:val="00C21660"/>
    <w:rsid w:val="00C6088F"/>
    <w:rsid w:val="00C61856"/>
    <w:rsid w:val="00C619B7"/>
    <w:rsid w:val="00C61DC8"/>
    <w:rsid w:val="00C64CAC"/>
    <w:rsid w:val="00C7268A"/>
    <w:rsid w:val="00C742AC"/>
    <w:rsid w:val="00C77946"/>
    <w:rsid w:val="00C83948"/>
    <w:rsid w:val="00C865B4"/>
    <w:rsid w:val="00C97B75"/>
    <w:rsid w:val="00CA000A"/>
    <w:rsid w:val="00CA1982"/>
    <w:rsid w:val="00CA3D2E"/>
    <w:rsid w:val="00CA734C"/>
    <w:rsid w:val="00CA79BF"/>
    <w:rsid w:val="00CB3C7C"/>
    <w:rsid w:val="00CB684E"/>
    <w:rsid w:val="00CC2256"/>
    <w:rsid w:val="00CC2A6B"/>
    <w:rsid w:val="00CC3DAD"/>
    <w:rsid w:val="00CD15A8"/>
    <w:rsid w:val="00CD657A"/>
    <w:rsid w:val="00CE5504"/>
    <w:rsid w:val="00CE5B7A"/>
    <w:rsid w:val="00CF376B"/>
    <w:rsid w:val="00CF4E5E"/>
    <w:rsid w:val="00CF6BE3"/>
    <w:rsid w:val="00D0103C"/>
    <w:rsid w:val="00D02ADC"/>
    <w:rsid w:val="00D144E2"/>
    <w:rsid w:val="00D14CB3"/>
    <w:rsid w:val="00D25BAC"/>
    <w:rsid w:val="00D31652"/>
    <w:rsid w:val="00D3242D"/>
    <w:rsid w:val="00D327FE"/>
    <w:rsid w:val="00D406C1"/>
    <w:rsid w:val="00D428C2"/>
    <w:rsid w:val="00D52BDE"/>
    <w:rsid w:val="00D558AF"/>
    <w:rsid w:val="00D74D2C"/>
    <w:rsid w:val="00D77F11"/>
    <w:rsid w:val="00D83A35"/>
    <w:rsid w:val="00D946D6"/>
    <w:rsid w:val="00D94726"/>
    <w:rsid w:val="00DA24D1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E007F9"/>
    <w:rsid w:val="00E01648"/>
    <w:rsid w:val="00E020F3"/>
    <w:rsid w:val="00E048A0"/>
    <w:rsid w:val="00E076FA"/>
    <w:rsid w:val="00E20513"/>
    <w:rsid w:val="00E254E4"/>
    <w:rsid w:val="00E37525"/>
    <w:rsid w:val="00E376E9"/>
    <w:rsid w:val="00E414AB"/>
    <w:rsid w:val="00E600C1"/>
    <w:rsid w:val="00E60A30"/>
    <w:rsid w:val="00E667F3"/>
    <w:rsid w:val="00E7186C"/>
    <w:rsid w:val="00E75724"/>
    <w:rsid w:val="00E800E7"/>
    <w:rsid w:val="00E804C8"/>
    <w:rsid w:val="00E80B69"/>
    <w:rsid w:val="00E849C9"/>
    <w:rsid w:val="00E93E5D"/>
    <w:rsid w:val="00EA0F78"/>
    <w:rsid w:val="00EA1617"/>
    <w:rsid w:val="00EA782B"/>
    <w:rsid w:val="00EC018C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B6A"/>
    <w:rsid w:val="00EF2E8A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50273"/>
    <w:rsid w:val="00F61C0C"/>
    <w:rsid w:val="00F65563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A4"/>
    <w:rsid w:val="00FD60C9"/>
    <w:rsid w:val="00FD6F1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  <w:lang w:eastAsia="en-US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1400C9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ublications.gc.ca/site/eng/9.894398/publication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64989-4E3A-4E08-A1E3-0BE5E65EAF6C}"/>
</file>

<file path=customXml/itemProps2.xml><?xml version="1.0" encoding="utf-8"?>
<ds:datastoreItem xmlns:ds="http://schemas.openxmlformats.org/officeDocument/2006/customXml" ds:itemID="{8E3CD503-BB94-406F-B608-274A5EAC76B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3218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Farm Plan</dc:title>
  <dc:subject/>
  <dc:creator>Angela Caudle</dc:creator>
  <cp:keywords/>
  <dc:description/>
  <cp:lastModifiedBy>Ricardo Areingdale - QCS</cp:lastModifiedBy>
  <cp:revision>3</cp:revision>
  <cp:lastPrinted>2021-04-01T14:39:00Z</cp:lastPrinted>
  <dcterms:created xsi:type="dcterms:W3CDTF">2023-08-02T14:08:00Z</dcterms:created>
  <dcterms:modified xsi:type="dcterms:W3CDTF">2023-08-02T14:08:00Z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</Properties>
</file>