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660" w14:textId="6B84BED0" w:rsidR="00E7021A" w:rsidRPr="002533ED" w:rsidRDefault="009118CD" w:rsidP="00F72767">
      <w:pPr>
        <w:spacing w:before="40" w:after="40"/>
        <w:jc w:val="center"/>
        <w:rPr>
          <w:rFonts w:asciiTheme="minorHAnsi" w:hAnsiTheme="minorHAnsi" w:cstheme="minorHAnsi"/>
          <w:b/>
        </w:rPr>
      </w:pPr>
      <w:r w:rsidRPr="002533ED">
        <w:rPr>
          <w:rFonts w:asciiTheme="minorHAnsi" w:hAnsiTheme="minorHAnsi" w:cstheme="minorHAnsi"/>
          <w:b/>
        </w:rPr>
        <w:t xml:space="preserve">EU </w:t>
      </w:r>
      <w:r w:rsidR="00331B7B" w:rsidRPr="002533ED">
        <w:rPr>
          <w:rFonts w:asciiTheme="minorHAnsi" w:hAnsiTheme="minorHAnsi" w:cstheme="minorHAnsi"/>
          <w:b/>
        </w:rPr>
        <w:t xml:space="preserve">ORGANIC </w:t>
      </w:r>
      <w:r w:rsidRPr="002533ED">
        <w:rPr>
          <w:rFonts w:asciiTheme="minorHAnsi" w:hAnsiTheme="minorHAnsi" w:cstheme="minorHAnsi"/>
          <w:b/>
        </w:rPr>
        <w:t>PRODUCTION AND LABELING</w:t>
      </w:r>
      <w:r w:rsidR="002D3773" w:rsidRPr="002533ED">
        <w:rPr>
          <w:rFonts w:asciiTheme="minorHAnsi" w:hAnsiTheme="minorHAnsi" w:cstheme="minorHAnsi"/>
          <w:b/>
        </w:rPr>
        <w:t xml:space="preserve">: </w:t>
      </w:r>
      <w:r w:rsidR="00331B7B" w:rsidRPr="002533ED">
        <w:rPr>
          <w:rFonts w:asciiTheme="minorHAnsi" w:hAnsiTheme="minorHAnsi" w:cstheme="minorHAnsi"/>
          <w:b/>
        </w:rPr>
        <w:t xml:space="preserve">A PRIMER FOR </w:t>
      </w:r>
      <w:r w:rsidR="001F2DA8" w:rsidRPr="002533ED">
        <w:rPr>
          <w:rFonts w:asciiTheme="minorHAnsi" w:hAnsiTheme="minorHAnsi" w:cstheme="minorHAnsi"/>
          <w:b/>
        </w:rPr>
        <w:t>CROP PRODUCERS</w:t>
      </w:r>
    </w:p>
    <w:p w14:paraId="09A0FF1F" w14:textId="65026E5B" w:rsidR="00BB0C13" w:rsidRPr="002533ED" w:rsidRDefault="00620B27" w:rsidP="00743FA1">
      <w:pPr>
        <w:jc w:val="both"/>
        <w:rPr>
          <w:rFonts w:asciiTheme="minorHAnsi" w:hAnsiTheme="minorHAnsi" w:cstheme="minorHAnsi"/>
          <w:sz w:val="22"/>
          <w:szCs w:val="22"/>
        </w:rPr>
      </w:pPr>
      <w:r w:rsidRPr="002533ED">
        <w:rPr>
          <w:rFonts w:asciiTheme="minorHAnsi" w:hAnsiTheme="minorHAnsi" w:cstheme="minorHAnsi"/>
          <w:sz w:val="22"/>
          <w:szCs w:val="22"/>
        </w:rPr>
        <w:t xml:space="preserve">Organic production is </w:t>
      </w:r>
      <w:r w:rsidR="00921779" w:rsidRPr="002533ED">
        <w:rPr>
          <w:rFonts w:asciiTheme="minorHAnsi" w:hAnsiTheme="minorHAnsi" w:cstheme="minorHAnsi"/>
          <w:sz w:val="22"/>
          <w:szCs w:val="22"/>
        </w:rPr>
        <w:t xml:space="preserve">a sustainable management system </w:t>
      </w:r>
      <w:r w:rsidR="00F37890" w:rsidRPr="002533ED">
        <w:rPr>
          <w:rFonts w:asciiTheme="minorHAnsi" w:hAnsiTheme="minorHAnsi" w:cstheme="minorHAnsi"/>
          <w:sz w:val="22"/>
          <w:szCs w:val="22"/>
        </w:rPr>
        <w:t xml:space="preserve">promoting </w:t>
      </w:r>
      <w:r w:rsidR="008A2728" w:rsidRPr="002533ED">
        <w:rPr>
          <w:rFonts w:asciiTheme="minorHAnsi" w:hAnsiTheme="minorHAnsi" w:cstheme="minorHAnsi"/>
          <w:sz w:val="22"/>
          <w:szCs w:val="22"/>
        </w:rPr>
        <w:t>enhancement</w:t>
      </w:r>
      <w:r w:rsidR="00D07ED4" w:rsidRPr="002533ED">
        <w:rPr>
          <w:rFonts w:asciiTheme="minorHAnsi" w:hAnsiTheme="minorHAnsi" w:cstheme="minorHAnsi"/>
          <w:sz w:val="22"/>
          <w:szCs w:val="22"/>
        </w:rPr>
        <w:t xml:space="preserve"> of </w:t>
      </w:r>
      <w:r w:rsidR="00B21825" w:rsidRPr="002533ED">
        <w:rPr>
          <w:rFonts w:asciiTheme="minorHAnsi" w:hAnsiTheme="minorHAnsi" w:cstheme="minorHAnsi"/>
          <w:sz w:val="22"/>
          <w:szCs w:val="22"/>
        </w:rPr>
        <w:t>ecosystems and biodiversity</w:t>
      </w:r>
      <w:r w:rsidR="001B5B24" w:rsidRPr="002533ED">
        <w:rPr>
          <w:rFonts w:asciiTheme="minorHAnsi" w:hAnsiTheme="minorHAnsi" w:cstheme="minorHAnsi"/>
          <w:sz w:val="22"/>
          <w:szCs w:val="22"/>
        </w:rPr>
        <w:t xml:space="preserve"> through respect for nature’s systems and cycles and responsible use of energy and natural resources</w:t>
      </w:r>
      <w:r w:rsidR="008956B6" w:rsidRPr="002533ED">
        <w:rPr>
          <w:rFonts w:asciiTheme="minorHAnsi" w:hAnsiTheme="minorHAnsi" w:cstheme="minorHAnsi"/>
          <w:sz w:val="22"/>
          <w:szCs w:val="22"/>
        </w:rPr>
        <w:t>.</w:t>
      </w:r>
      <w:r w:rsidR="006F2DC5" w:rsidRPr="002533ED">
        <w:rPr>
          <w:rFonts w:asciiTheme="minorHAnsi" w:hAnsiTheme="minorHAnsi" w:cstheme="minorHAnsi"/>
          <w:sz w:val="22"/>
          <w:szCs w:val="22"/>
        </w:rPr>
        <w:t xml:space="preserve"> </w:t>
      </w:r>
      <w:r w:rsidR="008956B6" w:rsidRPr="002533ED">
        <w:rPr>
          <w:rFonts w:asciiTheme="minorHAnsi" w:hAnsiTheme="minorHAnsi" w:cstheme="minorHAnsi"/>
          <w:sz w:val="22"/>
          <w:szCs w:val="22"/>
        </w:rPr>
        <w:t xml:space="preserve">It </w:t>
      </w:r>
      <w:r w:rsidR="00664CD2" w:rsidRPr="002533ED">
        <w:rPr>
          <w:rFonts w:asciiTheme="minorHAnsi" w:hAnsiTheme="minorHAnsi" w:cstheme="minorHAnsi"/>
          <w:sz w:val="22"/>
          <w:szCs w:val="22"/>
        </w:rPr>
        <w:t>ensure</w:t>
      </w:r>
      <w:r w:rsidR="00291D26" w:rsidRPr="002533ED">
        <w:rPr>
          <w:rFonts w:asciiTheme="minorHAnsi" w:hAnsiTheme="minorHAnsi" w:cstheme="minorHAnsi"/>
          <w:sz w:val="22"/>
          <w:szCs w:val="22"/>
        </w:rPr>
        <w:t>s organic</w:t>
      </w:r>
      <w:r w:rsidR="00664CD2" w:rsidRPr="002533ED">
        <w:rPr>
          <w:rFonts w:asciiTheme="minorHAnsi" w:hAnsiTheme="minorHAnsi" w:cstheme="minorHAnsi"/>
          <w:sz w:val="22"/>
          <w:szCs w:val="22"/>
        </w:rPr>
        <w:t xml:space="preserve"> integrity</w:t>
      </w:r>
      <w:r w:rsidR="0038169C" w:rsidRPr="002533ED">
        <w:rPr>
          <w:rFonts w:asciiTheme="minorHAnsi" w:hAnsiTheme="minorHAnsi" w:cstheme="minorHAnsi"/>
          <w:sz w:val="22"/>
          <w:szCs w:val="22"/>
        </w:rPr>
        <w:t xml:space="preserve"> at all stages of production, </w:t>
      </w:r>
      <w:r w:rsidR="00D25E5D" w:rsidRPr="002533ED">
        <w:rPr>
          <w:rFonts w:asciiTheme="minorHAnsi" w:hAnsiTheme="minorHAnsi" w:cstheme="minorHAnsi"/>
          <w:sz w:val="22"/>
          <w:szCs w:val="22"/>
        </w:rPr>
        <w:t>preparation,</w:t>
      </w:r>
      <w:r w:rsidR="0038169C" w:rsidRPr="002533ED">
        <w:rPr>
          <w:rFonts w:asciiTheme="minorHAnsi" w:hAnsiTheme="minorHAnsi" w:cstheme="minorHAnsi"/>
          <w:sz w:val="22"/>
          <w:szCs w:val="22"/>
        </w:rPr>
        <w:t xml:space="preserve"> and distribution to meet consumer demand </w:t>
      </w:r>
      <w:r w:rsidR="00B14A14" w:rsidRPr="002533ED">
        <w:rPr>
          <w:rFonts w:asciiTheme="minorHAnsi" w:hAnsiTheme="minorHAnsi" w:cstheme="minorHAnsi"/>
          <w:sz w:val="22"/>
          <w:szCs w:val="22"/>
        </w:rPr>
        <w:t xml:space="preserve">for </w:t>
      </w:r>
      <w:r w:rsidR="0038169C" w:rsidRPr="002533ED">
        <w:rPr>
          <w:rFonts w:asciiTheme="minorHAnsi" w:hAnsiTheme="minorHAnsi" w:cstheme="minorHAnsi"/>
          <w:sz w:val="22"/>
          <w:szCs w:val="22"/>
        </w:rPr>
        <w:t>high-quality food</w:t>
      </w:r>
      <w:r w:rsidR="00B14A14" w:rsidRPr="002533ED">
        <w:rPr>
          <w:rFonts w:asciiTheme="minorHAnsi" w:hAnsiTheme="minorHAnsi" w:cstheme="minorHAnsi"/>
          <w:sz w:val="22"/>
          <w:szCs w:val="22"/>
        </w:rPr>
        <w:t xml:space="preserve">, and </w:t>
      </w:r>
      <w:r w:rsidR="0038169C" w:rsidRPr="002533ED">
        <w:rPr>
          <w:rFonts w:asciiTheme="minorHAnsi" w:hAnsiTheme="minorHAnsi" w:cstheme="minorHAnsi"/>
          <w:sz w:val="22"/>
          <w:szCs w:val="22"/>
        </w:rPr>
        <w:t>agricultural and aquaculture products that promote the health of the environment, humans, plants</w:t>
      </w:r>
      <w:r w:rsidR="0059069E" w:rsidRPr="002533ED">
        <w:rPr>
          <w:rFonts w:asciiTheme="minorHAnsi" w:hAnsiTheme="minorHAnsi" w:cstheme="minorHAnsi"/>
          <w:sz w:val="22"/>
          <w:szCs w:val="22"/>
        </w:rPr>
        <w:t>,</w:t>
      </w:r>
      <w:r w:rsidR="0038169C" w:rsidRPr="002533ED">
        <w:rPr>
          <w:rFonts w:asciiTheme="minorHAnsi" w:hAnsiTheme="minorHAnsi" w:cstheme="minorHAnsi"/>
          <w:sz w:val="22"/>
          <w:szCs w:val="22"/>
        </w:rPr>
        <w:t xml:space="preserve"> and animals.</w:t>
      </w:r>
      <w:r w:rsidR="006F2DC5" w:rsidRPr="002533ED">
        <w:rPr>
          <w:rFonts w:asciiTheme="minorHAnsi" w:hAnsiTheme="minorHAnsi" w:cstheme="minorHAnsi"/>
          <w:sz w:val="22"/>
          <w:szCs w:val="22"/>
        </w:rPr>
        <w:t xml:space="preserve"> </w:t>
      </w:r>
    </w:p>
    <w:p w14:paraId="30DDCB93" w14:textId="77777777" w:rsidR="00BB0C13" w:rsidRPr="002533ED" w:rsidRDefault="00BB0C13" w:rsidP="00743FA1">
      <w:pPr>
        <w:jc w:val="both"/>
        <w:rPr>
          <w:rFonts w:asciiTheme="minorHAnsi" w:hAnsiTheme="minorHAnsi" w:cstheme="minorHAnsi"/>
          <w:sz w:val="22"/>
          <w:szCs w:val="22"/>
        </w:rPr>
      </w:pPr>
    </w:p>
    <w:p w14:paraId="2384339E" w14:textId="0CD3D71A" w:rsidR="00743FA1" w:rsidRPr="002533ED" w:rsidRDefault="00741FE3" w:rsidP="00743FA1">
      <w:pPr>
        <w:jc w:val="both"/>
        <w:rPr>
          <w:rFonts w:asciiTheme="minorHAnsi" w:hAnsiTheme="minorHAnsi" w:cstheme="minorHAnsi"/>
          <w:sz w:val="22"/>
          <w:szCs w:val="22"/>
        </w:rPr>
      </w:pPr>
      <w:hyperlink r:id="rId11" w:history="1">
        <w:r w:rsidR="00BB0C13" w:rsidRPr="002533ED">
          <w:rPr>
            <w:rStyle w:val="Hyperlink"/>
            <w:rFonts w:asciiTheme="minorHAnsi" w:hAnsiTheme="minorHAnsi" w:cstheme="minorHAnsi"/>
            <w:sz w:val="22"/>
            <w:szCs w:val="22"/>
          </w:rPr>
          <w:t>Regulation (EU) 2018/848</w:t>
        </w:r>
        <w:r w:rsidR="00DE0B72" w:rsidRPr="002533ED">
          <w:rPr>
            <w:rStyle w:val="Hyperlink"/>
            <w:rFonts w:asciiTheme="minorHAnsi" w:hAnsiTheme="minorHAnsi" w:cstheme="minorHAnsi"/>
            <w:sz w:val="22"/>
            <w:szCs w:val="22"/>
          </w:rPr>
          <w:t xml:space="preserve"> and its related delegated and implementing </w:t>
        </w:r>
        <w:r w:rsidR="007B16C5" w:rsidRPr="002533ED">
          <w:rPr>
            <w:rStyle w:val="Hyperlink"/>
            <w:rFonts w:asciiTheme="minorHAnsi" w:hAnsiTheme="minorHAnsi" w:cstheme="minorHAnsi"/>
            <w:sz w:val="22"/>
            <w:szCs w:val="22"/>
          </w:rPr>
          <w:t>acts</w:t>
        </w:r>
      </w:hyperlink>
      <w:r w:rsidR="001D512E" w:rsidRPr="002533ED">
        <w:rPr>
          <w:rFonts w:asciiTheme="minorHAnsi" w:hAnsiTheme="minorHAnsi" w:cstheme="minorHAnsi"/>
          <w:sz w:val="22"/>
          <w:szCs w:val="22"/>
        </w:rPr>
        <w:t xml:space="preserve"> went into effect on 1 January 2022</w:t>
      </w:r>
      <w:r w:rsidR="00DE155E" w:rsidRPr="002533ED">
        <w:rPr>
          <w:rFonts w:asciiTheme="minorHAnsi" w:hAnsiTheme="minorHAnsi" w:cstheme="minorHAnsi"/>
          <w:sz w:val="22"/>
          <w:szCs w:val="22"/>
        </w:rPr>
        <w:t xml:space="preserve">. </w:t>
      </w:r>
      <w:r w:rsidR="009139FD" w:rsidRPr="002533ED">
        <w:rPr>
          <w:rFonts w:asciiTheme="minorHAnsi" w:hAnsiTheme="minorHAnsi" w:cstheme="minorHAnsi"/>
          <w:sz w:val="22"/>
          <w:szCs w:val="22"/>
        </w:rPr>
        <w:t xml:space="preserve">Operators in </w:t>
      </w:r>
      <w:r w:rsidR="00B21825" w:rsidRPr="002533ED">
        <w:rPr>
          <w:rFonts w:asciiTheme="minorHAnsi" w:hAnsiTheme="minorHAnsi" w:cstheme="minorHAnsi"/>
          <w:sz w:val="22"/>
          <w:szCs w:val="22"/>
        </w:rPr>
        <w:t>third countries</w:t>
      </w:r>
      <w:r w:rsidR="007F654A" w:rsidRPr="002533ED">
        <w:rPr>
          <w:rFonts w:asciiTheme="minorHAnsi" w:hAnsiTheme="minorHAnsi" w:cstheme="minorHAnsi"/>
          <w:sz w:val="22"/>
          <w:szCs w:val="22"/>
        </w:rPr>
        <w:t xml:space="preserve"> that are currently certified to an equivalent standard</w:t>
      </w:r>
      <w:r w:rsidR="009139FD" w:rsidRPr="002533ED">
        <w:rPr>
          <w:rFonts w:asciiTheme="minorHAnsi" w:hAnsiTheme="minorHAnsi" w:cstheme="minorHAnsi"/>
          <w:sz w:val="22"/>
          <w:szCs w:val="22"/>
        </w:rPr>
        <w:t xml:space="preserve"> must </w:t>
      </w:r>
      <w:r w:rsidR="007F654A" w:rsidRPr="002533ED">
        <w:rPr>
          <w:rFonts w:asciiTheme="minorHAnsi" w:hAnsiTheme="minorHAnsi" w:cstheme="minorHAnsi"/>
          <w:sz w:val="22"/>
          <w:szCs w:val="22"/>
        </w:rPr>
        <w:t>achieve certification</w:t>
      </w:r>
      <w:r w:rsidR="009139FD" w:rsidRPr="002533ED">
        <w:rPr>
          <w:rFonts w:asciiTheme="minorHAnsi" w:hAnsiTheme="minorHAnsi" w:cstheme="minorHAnsi"/>
          <w:sz w:val="22"/>
          <w:szCs w:val="22"/>
        </w:rPr>
        <w:t xml:space="preserve"> to </w:t>
      </w:r>
      <w:r w:rsidR="009652DA" w:rsidRPr="002533ED">
        <w:rPr>
          <w:rFonts w:asciiTheme="minorHAnsi" w:hAnsiTheme="minorHAnsi" w:cstheme="minorHAnsi"/>
          <w:sz w:val="22"/>
          <w:szCs w:val="22"/>
        </w:rPr>
        <w:t>the</w:t>
      </w:r>
      <w:r w:rsidR="001D512E" w:rsidRPr="002533ED">
        <w:rPr>
          <w:rFonts w:asciiTheme="minorHAnsi" w:hAnsiTheme="minorHAnsi" w:cstheme="minorHAnsi"/>
          <w:sz w:val="22"/>
          <w:szCs w:val="22"/>
        </w:rPr>
        <w:t>se</w:t>
      </w:r>
      <w:r w:rsidR="009652DA" w:rsidRPr="002533ED">
        <w:rPr>
          <w:rFonts w:asciiTheme="minorHAnsi" w:hAnsiTheme="minorHAnsi" w:cstheme="minorHAnsi"/>
          <w:sz w:val="22"/>
          <w:szCs w:val="22"/>
        </w:rPr>
        <w:t xml:space="preserve"> new </w:t>
      </w:r>
      <w:r w:rsidR="006257D1" w:rsidRPr="002533ED">
        <w:rPr>
          <w:rFonts w:asciiTheme="minorHAnsi" w:hAnsiTheme="minorHAnsi" w:cstheme="minorHAnsi"/>
          <w:sz w:val="22"/>
          <w:szCs w:val="22"/>
        </w:rPr>
        <w:t>requirements</w:t>
      </w:r>
      <w:r w:rsidR="007F654A" w:rsidRPr="002533ED">
        <w:rPr>
          <w:rFonts w:asciiTheme="minorHAnsi" w:hAnsiTheme="minorHAnsi" w:cstheme="minorHAnsi"/>
          <w:sz w:val="22"/>
          <w:szCs w:val="22"/>
        </w:rPr>
        <w:t xml:space="preserve"> no later than December 31, </w:t>
      </w:r>
      <w:r w:rsidR="003316AE" w:rsidRPr="002533ED">
        <w:rPr>
          <w:rFonts w:asciiTheme="minorHAnsi" w:hAnsiTheme="minorHAnsi" w:cstheme="minorHAnsi"/>
          <w:sz w:val="22"/>
          <w:szCs w:val="22"/>
        </w:rPr>
        <w:t>2024,</w:t>
      </w:r>
      <w:r w:rsidR="001F2DA8" w:rsidRPr="002533ED">
        <w:rPr>
          <w:rFonts w:asciiTheme="minorHAnsi" w:hAnsiTheme="minorHAnsi" w:cstheme="minorHAnsi"/>
          <w:sz w:val="22"/>
          <w:szCs w:val="22"/>
        </w:rPr>
        <w:t xml:space="preserve"> to continue marketing organic products to the EU</w:t>
      </w:r>
      <w:r w:rsidR="009652DA" w:rsidRPr="002533ED">
        <w:rPr>
          <w:rFonts w:asciiTheme="minorHAnsi" w:hAnsiTheme="minorHAnsi" w:cstheme="minorHAnsi"/>
          <w:sz w:val="22"/>
          <w:szCs w:val="22"/>
        </w:rPr>
        <w:t>.</w:t>
      </w:r>
      <w:r w:rsidR="006F2DC5" w:rsidRPr="002533ED">
        <w:rPr>
          <w:rFonts w:asciiTheme="minorHAnsi" w:hAnsiTheme="minorHAnsi" w:cstheme="minorHAnsi"/>
          <w:sz w:val="22"/>
          <w:szCs w:val="22"/>
        </w:rPr>
        <w:t xml:space="preserve"> </w:t>
      </w:r>
    </w:p>
    <w:p w14:paraId="024CBE8B" w14:textId="77777777" w:rsidR="00331B7B" w:rsidRPr="002533ED" w:rsidRDefault="00331B7B" w:rsidP="00594796">
      <w:pPr>
        <w:jc w:val="both"/>
        <w:rPr>
          <w:rFonts w:asciiTheme="minorHAnsi" w:hAnsiTheme="minorHAnsi" w:cstheme="minorHAnsi"/>
          <w:sz w:val="22"/>
          <w:szCs w:val="22"/>
        </w:rPr>
      </w:pPr>
    </w:p>
    <w:p w14:paraId="1FEE8A6B" w14:textId="4F777850" w:rsidR="0059765C" w:rsidRPr="0032479E" w:rsidRDefault="0059765C" w:rsidP="0059765C">
      <w:pPr>
        <w:jc w:val="both"/>
        <w:rPr>
          <w:rFonts w:asciiTheme="minorHAnsi" w:hAnsiTheme="minorHAnsi" w:cstheme="minorHAnsi"/>
          <w:b/>
          <w:bCs/>
          <w:sz w:val="21"/>
          <w:szCs w:val="21"/>
        </w:rPr>
      </w:pPr>
      <w:r w:rsidRPr="002533ED">
        <w:rPr>
          <w:rFonts w:asciiTheme="minorHAnsi" w:hAnsiTheme="minorHAnsi" w:cstheme="minorHAnsi"/>
          <w:b/>
          <w:bCs/>
          <w:sz w:val="22"/>
          <w:szCs w:val="22"/>
        </w:rPr>
        <w:t>Management of the Holding</w:t>
      </w:r>
      <w:r w:rsidR="00A6761D" w:rsidRPr="002533ED">
        <w:rPr>
          <w:rFonts w:asciiTheme="minorHAnsi" w:hAnsiTheme="minorHAnsi" w:cstheme="minorHAnsi"/>
          <w:b/>
          <w:bCs/>
          <w:sz w:val="22"/>
          <w:szCs w:val="22"/>
        </w:rPr>
        <w:t>.</w:t>
      </w:r>
      <w:r w:rsidR="006036F9" w:rsidRPr="002533ED">
        <w:rPr>
          <w:rFonts w:asciiTheme="minorHAnsi" w:hAnsiTheme="minorHAnsi" w:cstheme="minorHAnsi"/>
          <w:b/>
          <w:bCs/>
          <w:sz w:val="22"/>
          <w:szCs w:val="22"/>
        </w:rPr>
        <w:t xml:space="preserve"> </w:t>
      </w:r>
      <w:r w:rsidRPr="002533ED">
        <w:rPr>
          <w:rFonts w:asciiTheme="minorHAnsi" w:hAnsiTheme="minorHAnsi" w:cstheme="minorHAnsi"/>
          <w:sz w:val="21"/>
          <w:szCs w:val="21"/>
        </w:rPr>
        <w:t xml:space="preserve">A ‘holding’ consists of all </w:t>
      </w:r>
      <w:r w:rsidR="00623014" w:rsidRPr="002533ED">
        <w:rPr>
          <w:rFonts w:asciiTheme="minorHAnsi" w:hAnsiTheme="minorHAnsi" w:cstheme="minorHAnsi"/>
          <w:sz w:val="21"/>
          <w:szCs w:val="21"/>
        </w:rPr>
        <w:t xml:space="preserve">agricultural </w:t>
      </w:r>
      <w:r w:rsidRPr="002533ED">
        <w:rPr>
          <w:rFonts w:asciiTheme="minorHAnsi" w:hAnsiTheme="minorHAnsi" w:cstheme="minorHAnsi"/>
          <w:sz w:val="21"/>
          <w:szCs w:val="21"/>
        </w:rPr>
        <w:t xml:space="preserve">production units operated under </w:t>
      </w:r>
      <w:r w:rsidR="0059069E" w:rsidRPr="002533ED">
        <w:rPr>
          <w:rFonts w:asciiTheme="minorHAnsi" w:hAnsiTheme="minorHAnsi" w:cstheme="minorHAnsi"/>
          <w:sz w:val="21"/>
          <w:szCs w:val="21"/>
        </w:rPr>
        <w:t xml:space="preserve">one system of </w:t>
      </w:r>
      <w:r w:rsidRPr="002533ED">
        <w:rPr>
          <w:rFonts w:asciiTheme="minorHAnsi" w:hAnsiTheme="minorHAnsi" w:cstheme="minorHAnsi"/>
          <w:sz w:val="21"/>
          <w:szCs w:val="21"/>
        </w:rPr>
        <w:t>managemen</w:t>
      </w:r>
      <w:r w:rsidR="00623014" w:rsidRPr="002533ED">
        <w:rPr>
          <w:rFonts w:asciiTheme="minorHAnsi" w:hAnsiTheme="minorHAnsi" w:cstheme="minorHAnsi"/>
          <w:sz w:val="21"/>
          <w:szCs w:val="21"/>
        </w:rPr>
        <w:t>t</w:t>
      </w:r>
      <w:r w:rsidRPr="002533ED">
        <w:rPr>
          <w:rFonts w:asciiTheme="minorHAnsi" w:hAnsiTheme="minorHAnsi" w:cstheme="minorHAnsi"/>
          <w:sz w:val="21"/>
          <w:szCs w:val="21"/>
        </w:rPr>
        <w:t xml:space="preserve">. </w:t>
      </w:r>
      <w:r w:rsidR="001B119D" w:rsidRPr="002533ED">
        <w:rPr>
          <w:rFonts w:asciiTheme="minorHAnsi" w:hAnsiTheme="minorHAnsi" w:cstheme="minorHAnsi"/>
          <w:sz w:val="21"/>
          <w:szCs w:val="21"/>
        </w:rPr>
        <w:t>An operation’s entire holding must be</w:t>
      </w:r>
      <w:r w:rsidRPr="002533ED">
        <w:rPr>
          <w:rFonts w:asciiTheme="minorHAnsi" w:hAnsiTheme="minorHAnsi" w:cstheme="minorHAnsi"/>
          <w:sz w:val="21"/>
          <w:szCs w:val="21"/>
        </w:rPr>
        <w:t xml:space="preserve"> managed in compliance with organic production requirements</w:t>
      </w:r>
      <w:r w:rsidR="004869AC" w:rsidRPr="002533ED">
        <w:rPr>
          <w:rFonts w:asciiTheme="minorHAnsi" w:hAnsiTheme="minorHAnsi" w:cstheme="minorHAnsi"/>
          <w:sz w:val="21"/>
          <w:szCs w:val="21"/>
        </w:rPr>
        <w:t>, except that a</w:t>
      </w:r>
      <w:r w:rsidRPr="002533ED">
        <w:rPr>
          <w:rFonts w:asciiTheme="minorHAnsi" w:hAnsiTheme="minorHAnsi" w:cstheme="minorHAnsi"/>
          <w:sz w:val="21"/>
          <w:szCs w:val="21"/>
        </w:rPr>
        <w:t xml:space="preserve"> holding may be split into clearly and effectively separated production units for organic, in-conversion and non-organic production when different varieties that can be easily differentiated are produced on the non-organic production units, except that the requirement for different varieties does not apply to research and educational centers, plant nurseries, and seed</w:t>
      </w:r>
      <w:r w:rsidR="002D3773" w:rsidRPr="002533ED">
        <w:rPr>
          <w:rFonts w:asciiTheme="minorHAnsi" w:hAnsiTheme="minorHAnsi" w:cstheme="minorHAnsi"/>
          <w:sz w:val="21"/>
          <w:szCs w:val="21"/>
        </w:rPr>
        <w:t xml:space="preserve"> </w:t>
      </w:r>
      <w:r w:rsidRPr="002533ED">
        <w:rPr>
          <w:rFonts w:asciiTheme="minorHAnsi" w:hAnsiTheme="minorHAnsi" w:cstheme="minorHAnsi"/>
          <w:sz w:val="21"/>
          <w:szCs w:val="21"/>
        </w:rPr>
        <w:t>multipliers.</w:t>
      </w:r>
      <w:r w:rsidR="006F2DC5" w:rsidRPr="002533ED">
        <w:rPr>
          <w:rFonts w:asciiTheme="minorHAnsi" w:hAnsiTheme="minorHAnsi" w:cstheme="minorHAnsi"/>
          <w:sz w:val="21"/>
          <w:szCs w:val="21"/>
        </w:rPr>
        <w:t xml:space="preserve"> </w:t>
      </w:r>
      <w:r w:rsidR="00677063" w:rsidRPr="002533ED">
        <w:rPr>
          <w:rFonts w:asciiTheme="minorHAnsi" w:hAnsiTheme="minorHAnsi" w:cstheme="minorHAnsi"/>
          <w:sz w:val="21"/>
          <w:szCs w:val="21"/>
        </w:rPr>
        <w:t>A</w:t>
      </w:r>
      <w:r w:rsidR="00D72D27" w:rsidRPr="002533ED">
        <w:rPr>
          <w:rFonts w:asciiTheme="minorHAnsi" w:hAnsiTheme="minorHAnsi" w:cstheme="minorHAnsi"/>
          <w:sz w:val="21"/>
          <w:szCs w:val="21"/>
        </w:rPr>
        <w:t>n operator can request a</w:t>
      </w:r>
      <w:r w:rsidR="00677063" w:rsidRPr="002533ED">
        <w:rPr>
          <w:rFonts w:asciiTheme="minorHAnsi" w:hAnsiTheme="minorHAnsi" w:cstheme="minorHAnsi"/>
          <w:sz w:val="21"/>
          <w:szCs w:val="21"/>
        </w:rPr>
        <w:t xml:space="preserve"> derogation</w:t>
      </w:r>
      <w:r w:rsidR="0045543B" w:rsidRPr="002533ED">
        <w:rPr>
          <w:rFonts w:asciiTheme="minorHAnsi" w:hAnsiTheme="minorHAnsi" w:cstheme="minorHAnsi"/>
          <w:sz w:val="21"/>
          <w:szCs w:val="21"/>
        </w:rPr>
        <w:t xml:space="preserve"> to produce the same varieties of</w:t>
      </w:r>
      <w:r w:rsidR="00677063" w:rsidRPr="002533ED">
        <w:rPr>
          <w:rFonts w:asciiTheme="minorHAnsi" w:hAnsiTheme="minorHAnsi" w:cstheme="minorHAnsi"/>
          <w:sz w:val="21"/>
          <w:szCs w:val="21"/>
        </w:rPr>
        <w:t xml:space="preserve"> non-organic or in-conversion </w:t>
      </w:r>
      <w:r w:rsidR="0045543B" w:rsidRPr="002533ED">
        <w:rPr>
          <w:rFonts w:asciiTheme="minorHAnsi" w:hAnsiTheme="minorHAnsi" w:cstheme="minorHAnsi"/>
          <w:sz w:val="21"/>
          <w:szCs w:val="21"/>
        </w:rPr>
        <w:t>crops,</w:t>
      </w:r>
      <w:r w:rsidR="00677063" w:rsidRPr="002533ED">
        <w:rPr>
          <w:rFonts w:asciiTheme="minorHAnsi" w:hAnsiTheme="minorHAnsi" w:cstheme="minorHAnsi"/>
          <w:sz w:val="21"/>
          <w:szCs w:val="21"/>
        </w:rPr>
        <w:t xml:space="preserve"> or different varieties that cannot be easily differentiated only when there is </w:t>
      </w:r>
      <w:r w:rsidR="00830C9C" w:rsidRPr="002533ED">
        <w:rPr>
          <w:rFonts w:asciiTheme="minorHAnsi" w:hAnsiTheme="minorHAnsi" w:cstheme="minorHAnsi"/>
          <w:sz w:val="21"/>
          <w:szCs w:val="21"/>
        </w:rPr>
        <w:t>a plan to convert all units to organic production as soon as possible and with additional certifier oversight of the harvest</w:t>
      </w:r>
      <w:r w:rsidR="00B54982" w:rsidRPr="002533ED">
        <w:rPr>
          <w:rFonts w:asciiTheme="minorHAnsi" w:hAnsiTheme="minorHAnsi" w:cstheme="minorHAnsi"/>
          <w:sz w:val="21"/>
          <w:szCs w:val="21"/>
        </w:rPr>
        <w:t xml:space="preserve"> to ensure effective </w:t>
      </w:r>
      <w:r w:rsidR="00B54982" w:rsidRPr="0032479E">
        <w:rPr>
          <w:rFonts w:asciiTheme="minorHAnsi" w:hAnsiTheme="minorHAnsi" w:cstheme="minorHAnsi"/>
          <w:sz w:val="21"/>
          <w:szCs w:val="21"/>
        </w:rPr>
        <w:t>separation</w:t>
      </w:r>
      <w:r w:rsidR="00830C9C" w:rsidRPr="0032479E">
        <w:rPr>
          <w:rFonts w:asciiTheme="minorHAnsi" w:hAnsiTheme="minorHAnsi" w:cstheme="minorHAnsi"/>
          <w:sz w:val="21"/>
          <w:szCs w:val="21"/>
        </w:rPr>
        <w:t>.</w:t>
      </w:r>
      <w:r w:rsidR="006F2DC5" w:rsidRPr="0032479E">
        <w:rPr>
          <w:rFonts w:asciiTheme="minorHAnsi" w:hAnsiTheme="minorHAnsi" w:cstheme="minorHAnsi"/>
          <w:sz w:val="21"/>
          <w:szCs w:val="21"/>
        </w:rPr>
        <w:t xml:space="preserve"> </w:t>
      </w:r>
    </w:p>
    <w:p w14:paraId="097AC903" w14:textId="77777777" w:rsidR="00331B7B" w:rsidRPr="002533ED" w:rsidRDefault="00331B7B" w:rsidP="0059765C">
      <w:pPr>
        <w:jc w:val="both"/>
        <w:rPr>
          <w:rFonts w:asciiTheme="minorHAnsi" w:hAnsiTheme="minorHAnsi" w:cstheme="minorHAnsi"/>
          <w:sz w:val="22"/>
          <w:szCs w:val="22"/>
          <w:highlight w:val="yellow"/>
        </w:rPr>
      </w:pPr>
    </w:p>
    <w:p w14:paraId="74B13C28" w14:textId="747DFB3C" w:rsidR="00044613" w:rsidRPr="0032479E" w:rsidRDefault="00044613" w:rsidP="00044613">
      <w:pPr>
        <w:jc w:val="both"/>
        <w:rPr>
          <w:rFonts w:asciiTheme="minorHAnsi" w:hAnsiTheme="minorHAnsi" w:cstheme="minorHAnsi"/>
          <w:sz w:val="21"/>
          <w:szCs w:val="21"/>
        </w:rPr>
      </w:pPr>
      <w:r w:rsidRPr="002533ED">
        <w:rPr>
          <w:rFonts w:asciiTheme="minorHAnsi" w:hAnsiTheme="minorHAnsi" w:cstheme="minorHAnsi"/>
          <w:b/>
          <w:sz w:val="22"/>
          <w:szCs w:val="22"/>
        </w:rPr>
        <w:t xml:space="preserve">Authorized substances. </w:t>
      </w:r>
      <w:r w:rsidRPr="002533ED">
        <w:rPr>
          <w:rFonts w:asciiTheme="minorHAnsi" w:hAnsiTheme="minorHAnsi" w:cstheme="minorHAnsi"/>
          <w:sz w:val="21"/>
          <w:szCs w:val="21"/>
        </w:rPr>
        <w:t xml:space="preserve">All substances used </w:t>
      </w:r>
      <w:r w:rsidR="00802B21" w:rsidRPr="002533ED">
        <w:rPr>
          <w:rFonts w:asciiTheme="minorHAnsi" w:hAnsiTheme="minorHAnsi" w:cstheme="minorHAnsi"/>
          <w:sz w:val="21"/>
          <w:szCs w:val="21"/>
        </w:rPr>
        <w:t>in</w:t>
      </w:r>
      <w:r w:rsidRPr="002533ED">
        <w:rPr>
          <w:rFonts w:asciiTheme="minorHAnsi" w:hAnsiTheme="minorHAnsi" w:cstheme="minorHAnsi"/>
          <w:sz w:val="21"/>
          <w:szCs w:val="21"/>
        </w:rPr>
        <w:t xml:space="preserve"> organic and in-conversion crop production, or stored on organic and in-conversion units must be authorized for use in organic production and used in accordance with specific conditions and limits as set forth in Regulation (EU) 2018/848 </w:t>
      </w:r>
      <w:r w:rsidR="0059648E" w:rsidRPr="002533ED">
        <w:rPr>
          <w:rFonts w:asciiTheme="minorHAnsi" w:hAnsiTheme="minorHAnsi" w:cstheme="minorHAnsi"/>
          <w:sz w:val="21"/>
          <w:szCs w:val="21"/>
        </w:rPr>
        <w:t>and</w:t>
      </w:r>
      <w:r w:rsidR="004C251D" w:rsidRPr="002533ED">
        <w:rPr>
          <w:rFonts w:asciiTheme="minorHAnsi" w:hAnsiTheme="minorHAnsi" w:cstheme="minorHAnsi"/>
          <w:sz w:val="21"/>
          <w:szCs w:val="21"/>
        </w:rPr>
        <w:t xml:space="preserve"> </w:t>
      </w:r>
      <w:r w:rsidR="009814B5" w:rsidRPr="002533ED">
        <w:rPr>
          <w:rFonts w:asciiTheme="minorHAnsi" w:hAnsiTheme="minorHAnsi" w:cstheme="minorHAnsi"/>
          <w:sz w:val="21"/>
          <w:szCs w:val="21"/>
        </w:rPr>
        <w:t xml:space="preserve">Annexes I and </w:t>
      </w:r>
      <w:r w:rsidR="00390463" w:rsidRPr="002533ED">
        <w:rPr>
          <w:rFonts w:asciiTheme="minorHAnsi" w:hAnsiTheme="minorHAnsi" w:cstheme="minorHAnsi"/>
          <w:sz w:val="21"/>
          <w:szCs w:val="21"/>
        </w:rPr>
        <w:t>II of R</w:t>
      </w:r>
      <w:r w:rsidR="00D25E5D" w:rsidRPr="002533ED">
        <w:rPr>
          <w:rFonts w:asciiTheme="minorHAnsi" w:hAnsiTheme="minorHAnsi" w:cstheme="minorHAnsi"/>
          <w:sz w:val="21"/>
          <w:szCs w:val="21"/>
        </w:rPr>
        <w:t>egulation (EU)</w:t>
      </w:r>
      <w:r w:rsidR="00390463" w:rsidRPr="002533ED">
        <w:rPr>
          <w:rFonts w:asciiTheme="minorHAnsi" w:hAnsiTheme="minorHAnsi" w:cstheme="minorHAnsi"/>
          <w:sz w:val="21"/>
          <w:szCs w:val="21"/>
        </w:rPr>
        <w:t xml:space="preserve"> </w:t>
      </w:r>
      <w:r w:rsidRPr="002533ED">
        <w:rPr>
          <w:rFonts w:asciiTheme="minorHAnsi" w:hAnsiTheme="minorHAnsi" w:cstheme="minorHAnsi"/>
          <w:sz w:val="21"/>
          <w:szCs w:val="21"/>
        </w:rPr>
        <w:t>2021/1165.</w:t>
      </w:r>
      <w:r w:rsidR="006F2DC5" w:rsidRPr="002533ED">
        <w:rPr>
          <w:rFonts w:asciiTheme="minorHAnsi" w:hAnsiTheme="minorHAnsi" w:cstheme="minorHAnsi"/>
          <w:sz w:val="21"/>
          <w:szCs w:val="21"/>
        </w:rPr>
        <w:t xml:space="preserve"> </w:t>
      </w:r>
      <w:r w:rsidR="00021606" w:rsidRPr="002533ED">
        <w:rPr>
          <w:rFonts w:asciiTheme="minorHAnsi" w:hAnsiTheme="minorHAnsi" w:cstheme="minorHAnsi"/>
          <w:sz w:val="21"/>
          <w:szCs w:val="21"/>
        </w:rPr>
        <w:t xml:space="preserve">Operators shall keep records </w:t>
      </w:r>
      <w:proofErr w:type="gramStart"/>
      <w:r w:rsidR="008A0FBC" w:rsidRPr="002533ED">
        <w:rPr>
          <w:rFonts w:asciiTheme="minorHAnsi" w:hAnsiTheme="minorHAnsi" w:cstheme="minorHAnsi"/>
          <w:sz w:val="21"/>
          <w:szCs w:val="21"/>
        </w:rPr>
        <w:t>on</w:t>
      </w:r>
      <w:proofErr w:type="gramEnd"/>
      <w:r w:rsidR="008A0FBC" w:rsidRPr="002533ED">
        <w:rPr>
          <w:rFonts w:asciiTheme="minorHAnsi" w:hAnsiTheme="minorHAnsi" w:cstheme="minorHAnsi"/>
          <w:sz w:val="21"/>
          <w:szCs w:val="21"/>
        </w:rPr>
        <w:t xml:space="preserve"> </w:t>
      </w:r>
      <w:r w:rsidR="00021606" w:rsidRPr="002533ED">
        <w:rPr>
          <w:rFonts w:asciiTheme="minorHAnsi" w:hAnsiTheme="minorHAnsi" w:cstheme="minorHAnsi"/>
          <w:sz w:val="21"/>
          <w:szCs w:val="21"/>
        </w:rPr>
        <w:t xml:space="preserve">the need for </w:t>
      </w:r>
      <w:r w:rsidR="0016592C" w:rsidRPr="002533ED">
        <w:rPr>
          <w:rFonts w:asciiTheme="minorHAnsi" w:hAnsiTheme="minorHAnsi" w:cstheme="minorHAnsi"/>
          <w:sz w:val="21"/>
          <w:szCs w:val="21"/>
        </w:rPr>
        <w:t>use</w:t>
      </w:r>
      <w:r w:rsidR="007A644F" w:rsidRPr="002533ED">
        <w:rPr>
          <w:rFonts w:asciiTheme="minorHAnsi" w:hAnsiTheme="minorHAnsi" w:cstheme="minorHAnsi"/>
          <w:sz w:val="21"/>
          <w:szCs w:val="21"/>
        </w:rPr>
        <w:t>;</w:t>
      </w:r>
      <w:r w:rsidR="00021606" w:rsidRPr="002533ED">
        <w:rPr>
          <w:rFonts w:asciiTheme="minorHAnsi" w:hAnsiTheme="minorHAnsi" w:cstheme="minorHAnsi"/>
          <w:sz w:val="21"/>
          <w:szCs w:val="21"/>
        </w:rPr>
        <w:t xml:space="preserve"> </w:t>
      </w:r>
      <w:r w:rsidR="00021606" w:rsidRPr="0032479E">
        <w:rPr>
          <w:rFonts w:asciiTheme="minorHAnsi" w:hAnsiTheme="minorHAnsi" w:cstheme="minorHAnsi"/>
          <w:sz w:val="21"/>
          <w:szCs w:val="21"/>
        </w:rPr>
        <w:t xml:space="preserve">the </w:t>
      </w:r>
      <w:r w:rsidR="005A68A3" w:rsidRPr="0032479E">
        <w:rPr>
          <w:rFonts w:asciiTheme="minorHAnsi" w:hAnsiTheme="minorHAnsi" w:cstheme="minorHAnsi"/>
          <w:sz w:val="21"/>
          <w:szCs w:val="21"/>
        </w:rPr>
        <w:t>parcel location</w:t>
      </w:r>
      <w:r w:rsidR="007A644F" w:rsidRPr="0032479E">
        <w:rPr>
          <w:rFonts w:asciiTheme="minorHAnsi" w:hAnsiTheme="minorHAnsi" w:cstheme="minorHAnsi"/>
          <w:sz w:val="21"/>
          <w:szCs w:val="21"/>
        </w:rPr>
        <w:t>, crop</w:t>
      </w:r>
      <w:r w:rsidR="00D519D9" w:rsidRPr="0032479E">
        <w:rPr>
          <w:rFonts w:asciiTheme="minorHAnsi" w:hAnsiTheme="minorHAnsi" w:cstheme="minorHAnsi"/>
          <w:sz w:val="21"/>
          <w:szCs w:val="21"/>
        </w:rPr>
        <w:t xml:space="preserve">, </w:t>
      </w:r>
      <w:r w:rsidR="00FE720F" w:rsidRPr="0032479E">
        <w:rPr>
          <w:rFonts w:asciiTheme="minorHAnsi" w:hAnsiTheme="minorHAnsi" w:cstheme="minorHAnsi"/>
          <w:sz w:val="21"/>
          <w:szCs w:val="21"/>
        </w:rPr>
        <w:t xml:space="preserve">the </w:t>
      </w:r>
      <w:r w:rsidR="00021606" w:rsidRPr="0032479E">
        <w:rPr>
          <w:rFonts w:asciiTheme="minorHAnsi" w:hAnsiTheme="minorHAnsi" w:cstheme="minorHAnsi"/>
          <w:sz w:val="21"/>
          <w:szCs w:val="21"/>
        </w:rPr>
        <w:t>date</w:t>
      </w:r>
      <w:r w:rsidR="00FE720F" w:rsidRPr="0032479E">
        <w:rPr>
          <w:rFonts w:asciiTheme="minorHAnsi" w:hAnsiTheme="minorHAnsi" w:cstheme="minorHAnsi"/>
          <w:sz w:val="21"/>
          <w:szCs w:val="21"/>
        </w:rPr>
        <w:t>(</w:t>
      </w:r>
      <w:r w:rsidR="00021606" w:rsidRPr="0032479E">
        <w:rPr>
          <w:rFonts w:asciiTheme="minorHAnsi" w:hAnsiTheme="minorHAnsi" w:cstheme="minorHAnsi"/>
          <w:sz w:val="21"/>
          <w:szCs w:val="21"/>
        </w:rPr>
        <w:t>s</w:t>
      </w:r>
      <w:r w:rsidR="00FE720F" w:rsidRPr="0032479E">
        <w:rPr>
          <w:rFonts w:asciiTheme="minorHAnsi" w:hAnsiTheme="minorHAnsi" w:cstheme="minorHAnsi"/>
          <w:sz w:val="21"/>
          <w:szCs w:val="21"/>
        </w:rPr>
        <w:t>)</w:t>
      </w:r>
      <w:r w:rsidR="00021606" w:rsidRPr="0032479E">
        <w:rPr>
          <w:rFonts w:asciiTheme="minorHAnsi" w:hAnsiTheme="minorHAnsi" w:cstheme="minorHAnsi"/>
          <w:sz w:val="21"/>
          <w:szCs w:val="21"/>
        </w:rPr>
        <w:t xml:space="preserve"> each product was used, the name of the product, </w:t>
      </w:r>
      <w:r w:rsidR="00286856" w:rsidRPr="0032479E">
        <w:rPr>
          <w:rFonts w:asciiTheme="minorHAnsi" w:hAnsiTheme="minorHAnsi" w:cstheme="minorHAnsi"/>
          <w:sz w:val="21"/>
          <w:szCs w:val="21"/>
        </w:rPr>
        <w:t xml:space="preserve">and </w:t>
      </w:r>
      <w:r w:rsidR="007A644F" w:rsidRPr="0032479E">
        <w:rPr>
          <w:rFonts w:asciiTheme="minorHAnsi" w:hAnsiTheme="minorHAnsi" w:cstheme="minorHAnsi"/>
          <w:sz w:val="21"/>
          <w:szCs w:val="21"/>
        </w:rPr>
        <w:t>the amount applied</w:t>
      </w:r>
      <w:r w:rsidR="00286856" w:rsidRPr="0032479E">
        <w:rPr>
          <w:rFonts w:asciiTheme="minorHAnsi" w:hAnsiTheme="minorHAnsi" w:cstheme="minorHAnsi"/>
          <w:sz w:val="21"/>
          <w:szCs w:val="21"/>
        </w:rPr>
        <w:t>.</w:t>
      </w:r>
      <w:r w:rsidR="006F2DC5" w:rsidRPr="0032479E">
        <w:rPr>
          <w:rFonts w:asciiTheme="minorHAnsi" w:hAnsiTheme="minorHAnsi" w:cstheme="minorHAnsi"/>
          <w:sz w:val="21"/>
          <w:szCs w:val="21"/>
        </w:rPr>
        <w:t xml:space="preserve"> </w:t>
      </w:r>
      <w:r w:rsidR="00286856" w:rsidRPr="0032479E">
        <w:rPr>
          <w:rFonts w:asciiTheme="minorHAnsi" w:hAnsiTheme="minorHAnsi" w:cstheme="minorHAnsi"/>
          <w:sz w:val="21"/>
          <w:szCs w:val="21"/>
        </w:rPr>
        <w:t xml:space="preserve">In the case of plant protection products </w:t>
      </w:r>
      <w:r w:rsidR="00D519D9" w:rsidRPr="0032479E">
        <w:rPr>
          <w:rFonts w:asciiTheme="minorHAnsi" w:hAnsiTheme="minorHAnsi" w:cstheme="minorHAnsi"/>
          <w:sz w:val="21"/>
          <w:szCs w:val="21"/>
        </w:rPr>
        <w:t xml:space="preserve">operators must also document </w:t>
      </w:r>
      <w:r w:rsidR="00021606" w:rsidRPr="0032479E">
        <w:rPr>
          <w:rFonts w:asciiTheme="minorHAnsi" w:hAnsiTheme="minorHAnsi" w:cstheme="minorHAnsi"/>
          <w:sz w:val="21"/>
          <w:szCs w:val="21"/>
        </w:rPr>
        <w:t>active substances</w:t>
      </w:r>
      <w:r w:rsidR="00F24D40" w:rsidRPr="0032479E">
        <w:rPr>
          <w:rFonts w:asciiTheme="minorHAnsi" w:hAnsiTheme="minorHAnsi" w:cstheme="minorHAnsi"/>
          <w:sz w:val="21"/>
          <w:szCs w:val="21"/>
        </w:rPr>
        <w:t xml:space="preserve"> and the pest or disease to be controlled</w:t>
      </w:r>
      <w:r w:rsidR="005A68A3" w:rsidRPr="0032479E">
        <w:rPr>
          <w:rFonts w:asciiTheme="minorHAnsi" w:hAnsiTheme="minorHAnsi" w:cstheme="minorHAnsi"/>
          <w:sz w:val="21"/>
          <w:szCs w:val="21"/>
        </w:rPr>
        <w:t>.</w:t>
      </w:r>
    </w:p>
    <w:p w14:paraId="6D0879C5" w14:textId="77777777" w:rsidR="00044613" w:rsidRPr="002533ED" w:rsidRDefault="00044613" w:rsidP="00044613">
      <w:pPr>
        <w:shd w:val="clear" w:color="auto" w:fill="FFFFFF"/>
        <w:rPr>
          <w:rFonts w:asciiTheme="minorHAnsi" w:hAnsiTheme="minorHAnsi" w:cstheme="minorHAnsi"/>
          <w:sz w:val="22"/>
          <w:szCs w:val="22"/>
        </w:rPr>
      </w:pPr>
    </w:p>
    <w:p w14:paraId="52577AF6" w14:textId="6C8FFDAB" w:rsidR="008231E7" w:rsidRPr="0032479E" w:rsidRDefault="00B8218E" w:rsidP="00B8218E">
      <w:pPr>
        <w:jc w:val="both"/>
        <w:rPr>
          <w:rFonts w:asciiTheme="minorHAnsi" w:hAnsiTheme="minorHAnsi" w:cstheme="minorHAnsi"/>
          <w:sz w:val="21"/>
          <w:szCs w:val="21"/>
        </w:rPr>
      </w:pPr>
      <w:r w:rsidRPr="002533ED">
        <w:rPr>
          <w:rFonts w:asciiTheme="minorHAnsi" w:hAnsiTheme="minorHAnsi" w:cstheme="minorHAnsi"/>
          <w:b/>
          <w:sz w:val="22"/>
          <w:szCs w:val="22"/>
        </w:rPr>
        <w:t xml:space="preserve">Soil Management. </w:t>
      </w:r>
      <w:r w:rsidRPr="002533ED">
        <w:rPr>
          <w:rFonts w:asciiTheme="minorHAnsi" w:hAnsiTheme="minorHAnsi" w:cstheme="minorHAnsi"/>
          <w:sz w:val="21"/>
          <w:szCs w:val="21"/>
        </w:rPr>
        <w:t xml:space="preserve">Organic producers must maintain and enhance soil life and biodiversity, fertility, </w:t>
      </w:r>
      <w:proofErr w:type="gramStart"/>
      <w:r w:rsidRPr="002533ED">
        <w:rPr>
          <w:rFonts w:asciiTheme="minorHAnsi" w:hAnsiTheme="minorHAnsi" w:cstheme="minorHAnsi"/>
          <w:sz w:val="21"/>
          <w:szCs w:val="21"/>
        </w:rPr>
        <w:t>stability</w:t>
      </w:r>
      <w:proofErr w:type="gramEnd"/>
      <w:r w:rsidRPr="002533ED">
        <w:rPr>
          <w:rFonts w:asciiTheme="minorHAnsi" w:hAnsiTheme="minorHAnsi" w:cstheme="minorHAnsi"/>
          <w:sz w:val="21"/>
          <w:szCs w:val="21"/>
        </w:rPr>
        <w:t xml:space="preserve"> and water retention; limit the use of non-renewable resources and external inputs; and recycle waste and by-products of plant and animal origin.</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Annual crop producers must practice multiannual crop rotation with leguminous crops as the main cover crop, as well as other green manure crops.</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Greenhouses and perennial crop producers must use short-term green manure crops and legumes as well as plant diversity.</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In all cases, organic producers should apply livestock manure or organic matter, preferably composted and from organic production.</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Manure from factory farms is prohibited. The total amount of livestock manure must not exceed the rate of 170 kg of nitrogen per hectare per year.</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 xml:space="preserve">All </w:t>
      </w:r>
      <w:r w:rsidRPr="0032479E">
        <w:rPr>
          <w:rFonts w:asciiTheme="minorHAnsi" w:hAnsiTheme="minorHAnsi" w:cstheme="minorHAnsi"/>
          <w:sz w:val="21"/>
          <w:szCs w:val="21"/>
        </w:rPr>
        <w:t>fertilizers, soil conditioners and nutrients used in organic production must be listed on Annex II of Regulation (EU) 2021/1165.</w:t>
      </w:r>
      <w:r w:rsidR="006F2DC5" w:rsidRPr="0032479E">
        <w:rPr>
          <w:rFonts w:asciiTheme="minorHAnsi" w:hAnsiTheme="minorHAnsi" w:cstheme="minorHAnsi"/>
          <w:sz w:val="21"/>
          <w:szCs w:val="21"/>
        </w:rPr>
        <w:t xml:space="preserve"> </w:t>
      </w:r>
    </w:p>
    <w:p w14:paraId="5D52772C" w14:textId="4FF108E3" w:rsidR="004764EE" w:rsidRPr="002533ED" w:rsidRDefault="004764EE">
      <w:pPr>
        <w:rPr>
          <w:rFonts w:asciiTheme="minorHAnsi" w:hAnsiTheme="minorHAnsi" w:cstheme="minorHAnsi"/>
          <w:bCs/>
          <w:sz w:val="22"/>
          <w:szCs w:val="22"/>
        </w:rPr>
      </w:pPr>
    </w:p>
    <w:p w14:paraId="2BE7D48A" w14:textId="1735FE9E" w:rsidR="00BC793A" w:rsidRPr="0032479E" w:rsidRDefault="00044613" w:rsidP="00C033F1">
      <w:pPr>
        <w:jc w:val="both"/>
        <w:rPr>
          <w:rFonts w:asciiTheme="minorHAnsi" w:hAnsiTheme="minorHAnsi" w:cstheme="minorHAnsi"/>
          <w:sz w:val="21"/>
          <w:szCs w:val="21"/>
        </w:rPr>
      </w:pPr>
      <w:r w:rsidRPr="002533ED">
        <w:rPr>
          <w:rFonts w:asciiTheme="minorHAnsi" w:hAnsiTheme="minorHAnsi" w:cstheme="minorHAnsi"/>
          <w:b/>
          <w:sz w:val="22"/>
          <w:szCs w:val="22"/>
        </w:rPr>
        <w:t xml:space="preserve">Pest and Weed Management. </w:t>
      </w:r>
      <w:r w:rsidRPr="002533ED">
        <w:rPr>
          <w:rFonts w:asciiTheme="minorHAnsi" w:hAnsiTheme="minorHAnsi" w:cstheme="minorHAnsi"/>
          <w:bCs/>
          <w:sz w:val="21"/>
          <w:szCs w:val="21"/>
        </w:rPr>
        <w:t>Organic producers should rely primarily on protection from natural enemies and biological controls, choosing species and varieties that resist pest pressure, crop rotations, cultivation techniques and thermal processes.</w:t>
      </w:r>
      <w:r w:rsidR="006F2DC5" w:rsidRPr="002533ED">
        <w:rPr>
          <w:rFonts w:asciiTheme="minorHAnsi" w:hAnsiTheme="minorHAnsi" w:cstheme="minorHAnsi"/>
          <w:bCs/>
          <w:sz w:val="21"/>
          <w:szCs w:val="21"/>
        </w:rPr>
        <w:t xml:space="preserve"> </w:t>
      </w:r>
      <w:r w:rsidR="0059648E" w:rsidRPr="002533ED">
        <w:rPr>
          <w:rFonts w:asciiTheme="minorHAnsi" w:hAnsiTheme="minorHAnsi" w:cstheme="minorHAnsi"/>
          <w:bCs/>
          <w:sz w:val="21"/>
          <w:szCs w:val="21"/>
        </w:rPr>
        <w:t xml:space="preserve">Only the </w:t>
      </w:r>
      <w:r w:rsidR="006D1BB0" w:rsidRPr="002533ED">
        <w:rPr>
          <w:rFonts w:asciiTheme="minorHAnsi" w:hAnsiTheme="minorHAnsi" w:cstheme="minorHAnsi"/>
          <w:bCs/>
          <w:sz w:val="21"/>
          <w:szCs w:val="21"/>
        </w:rPr>
        <w:t>active substances included on</w:t>
      </w:r>
      <w:r w:rsidR="00BC793A" w:rsidRPr="002533ED">
        <w:rPr>
          <w:rFonts w:asciiTheme="minorHAnsi" w:hAnsiTheme="minorHAnsi" w:cstheme="minorHAnsi"/>
          <w:sz w:val="21"/>
          <w:szCs w:val="21"/>
        </w:rPr>
        <w:t xml:space="preserve"> Annex I of Regulation (EU) 2021/1165 may be contained in plant protection products used in organic production when plants cannot be adequately protected from pests by preventive practices</w:t>
      </w:r>
      <w:r w:rsidR="00D42A4C" w:rsidRPr="002533ED">
        <w:rPr>
          <w:rFonts w:asciiTheme="minorHAnsi" w:hAnsiTheme="minorHAnsi" w:cstheme="minorHAnsi"/>
          <w:sz w:val="21"/>
          <w:szCs w:val="21"/>
        </w:rPr>
        <w:t xml:space="preserve">, </w:t>
      </w:r>
      <w:r w:rsidR="00E638FD" w:rsidRPr="002533ED">
        <w:rPr>
          <w:rFonts w:asciiTheme="minorHAnsi" w:hAnsiTheme="minorHAnsi" w:cstheme="minorHAnsi"/>
          <w:sz w:val="21"/>
          <w:szCs w:val="21"/>
        </w:rPr>
        <w:t>and only in accordance with the specified conditions and limits</w:t>
      </w:r>
      <w:r w:rsidR="00BC793A" w:rsidRPr="002533ED">
        <w:rPr>
          <w:rFonts w:asciiTheme="minorHAnsi" w:hAnsiTheme="minorHAnsi" w:cstheme="minorHAnsi"/>
          <w:sz w:val="21"/>
          <w:szCs w:val="21"/>
        </w:rPr>
        <w:t>.</w:t>
      </w:r>
      <w:r w:rsidR="006F2DC5" w:rsidRPr="002533ED">
        <w:rPr>
          <w:rFonts w:asciiTheme="minorHAnsi" w:hAnsiTheme="minorHAnsi" w:cstheme="minorHAnsi"/>
          <w:sz w:val="21"/>
          <w:szCs w:val="21"/>
        </w:rPr>
        <w:t xml:space="preserve"> </w:t>
      </w:r>
      <w:r w:rsidR="00D42A4C" w:rsidRPr="002533ED">
        <w:rPr>
          <w:rFonts w:asciiTheme="minorHAnsi" w:hAnsiTheme="minorHAnsi" w:cstheme="minorHAnsi"/>
          <w:sz w:val="21"/>
          <w:szCs w:val="21"/>
        </w:rPr>
        <w:t xml:space="preserve">Operations using </w:t>
      </w:r>
      <w:r w:rsidR="00E638FD" w:rsidRPr="002533ED">
        <w:rPr>
          <w:rFonts w:asciiTheme="minorHAnsi" w:hAnsiTheme="minorHAnsi" w:cstheme="minorHAnsi"/>
          <w:sz w:val="21"/>
          <w:szCs w:val="21"/>
        </w:rPr>
        <w:t>copper-based</w:t>
      </w:r>
      <w:r w:rsidR="00D42A4C" w:rsidRPr="002533ED">
        <w:rPr>
          <w:rFonts w:asciiTheme="minorHAnsi" w:hAnsiTheme="minorHAnsi" w:cstheme="minorHAnsi"/>
          <w:sz w:val="21"/>
          <w:szCs w:val="21"/>
        </w:rPr>
        <w:t xml:space="preserve"> plant protection </w:t>
      </w:r>
      <w:r w:rsidR="00D42A4C" w:rsidRPr="0032479E">
        <w:rPr>
          <w:rFonts w:asciiTheme="minorHAnsi" w:hAnsiTheme="minorHAnsi" w:cstheme="minorHAnsi"/>
          <w:sz w:val="21"/>
          <w:szCs w:val="21"/>
        </w:rPr>
        <w:t>products must ensure that the total application over a period of 7 years does not exceed 28 kg of copper per hectare.</w:t>
      </w:r>
    </w:p>
    <w:p w14:paraId="07C76A48" w14:textId="6CEECF71" w:rsidR="002533ED" w:rsidRPr="002533ED" w:rsidRDefault="002533ED">
      <w:pPr>
        <w:rPr>
          <w:rFonts w:asciiTheme="minorHAnsi" w:hAnsiTheme="minorHAnsi" w:cstheme="minorHAnsi"/>
          <w:sz w:val="22"/>
          <w:szCs w:val="22"/>
          <w:highlight w:val="yellow"/>
        </w:rPr>
      </w:pPr>
      <w:r w:rsidRPr="002533ED">
        <w:rPr>
          <w:rFonts w:asciiTheme="minorHAnsi" w:hAnsiTheme="minorHAnsi" w:cstheme="minorHAnsi"/>
          <w:sz w:val="22"/>
          <w:szCs w:val="22"/>
          <w:highlight w:val="yellow"/>
        </w:rPr>
        <w:br w:type="page"/>
      </w:r>
    </w:p>
    <w:p w14:paraId="78BD9E0E" w14:textId="52A95AFD" w:rsidR="00B03EC5" w:rsidRPr="0032479E" w:rsidRDefault="00B03EC5" w:rsidP="00B03EC5">
      <w:pPr>
        <w:jc w:val="both"/>
        <w:rPr>
          <w:rFonts w:asciiTheme="minorHAnsi" w:hAnsiTheme="minorHAnsi" w:cstheme="minorHAnsi"/>
          <w:b/>
          <w:sz w:val="21"/>
          <w:szCs w:val="21"/>
        </w:rPr>
      </w:pPr>
      <w:r w:rsidRPr="002533ED">
        <w:rPr>
          <w:rFonts w:asciiTheme="minorHAnsi" w:hAnsiTheme="minorHAnsi" w:cstheme="minorHAnsi"/>
          <w:b/>
          <w:sz w:val="22"/>
          <w:szCs w:val="22"/>
        </w:rPr>
        <w:lastRenderedPageBreak/>
        <w:t>Plant Reproductive Material</w:t>
      </w:r>
      <w:r w:rsidR="00124734" w:rsidRPr="002533ED">
        <w:rPr>
          <w:rFonts w:asciiTheme="minorHAnsi" w:hAnsiTheme="minorHAnsi" w:cstheme="minorHAnsi"/>
          <w:b/>
          <w:sz w:val="22"/>
          <w:szCs w:val="22"/>
        </w:rPr>
        <w:t>.</w:t>
      </w:r>
      <w:r w:rsidRPr="002533ED">
        <w:rPr>
          <w:rFonts w:asciiTheme="minorHAnsi" w:hAnsiTheme="minorHAnsi" w:cstheme="minorHAnsi"/>
          <w:b/>
          <w:sz w:val="22"/>
          <w:szCs w:val="22"/>
        </w:rPr>
        <w:t xml:space="preserve"> </w:t>
      </w:r>
      <w:r w:rsidRPr="002533ED">
        <w:rPr>
          <w:rFonts w:asciiTheme="minorHAnsi" w:hAnsiTheme="minorHAnsi" w:cstheme="minorHAnsi"/>
          <w:bCs/>
          <w:sz w:val="21"/>
          <w:szCs w:val="21"/>
        </w:rPr>
        <w:t xml:space="preserve">In accordance with Annex II (1.8.1) of Regulation (EU) 2018/848, only organic plant reproductive material shall be used </w:t>
      </w:r>
      <w:proofErr w:type="gramStart"/>
      <w:r w:rsidRPr="002533ED">
        <w:rPr>
          <w:rFonts w:asciiTheme="minorHAnsi" w:hAnsiTheme="minorHAnsi" w:cstheme="minorHAnsi"/>
          <w:bCs/>
          <w:sz w:val="21"/>
          <w:szCs w:val="21"/>
        </w:rPr>
        <w:t>for the production of</w:t>
      </w:r>
      <w:proofErr w:type="gramEnd"/>
      <w:r w:rsidRPr="002533ED">
        <w:rPr>
          <w:rFonts w:asciiTheme="minorHAnsi" w:hAnsiTheme="minorHAnsi" w:cstheme="minorHAnsi"/>
          <w:bCs/>
          <w:sz w:val="21"/>
          <w:szCs w:val="21"/>
        </w:rPr>
        <w:t xml:space="preserve"> </w:t>
      </w:r>
      <w:r w:rsidR="00AD0B10" w:rsidRPr="002533ED">
        <w:rPr>
          <w:rFonts w:asciiTheme="minorHAnsi" w:hAnsiTheme="minorHAnsi" w:cstheme="minorHAnsi"/>
          <w:bCs/>
          <w:sz w:val="21"/>
          <w:szCs w:val="21"/>
        </w:rPr>
        <w:t xml:space="preserve">organic </w:t>
      </w:r>
      <w:r w:rsidRPr="002533ED">
        <w:rPr>
          <w:rFonts w:asciiTheme="minorHAnsi" w:hAnsiTheme="minorHAnsi" w:cstheme="minorHAnsi"/>
          <w:bCs/>
          <w:sz w:val="21"/>
          <w:szCs w:val="21"/>
        </w:rPr>
        <w:t xml:space="preserve">plants and plant products. This requirement applies to all plant reproductive material, including cover crops. Organic operators in third countries may use both organic and in-conversion plant reproductive material obtained from within their own holding </w:t>
      </w:r>
      <w:proofErr w:type="gramStart"/>
      <w:r w:rsidRPr="002533ED">
        <w:rPr>
          <w:rFonts w:asciiTheme="minorHAnsi" w:hAnsiTheme="minorHAnsi" w:cstheme="minorHAnsi"/>
          <w:bCs/>
          <w:sz w:val="21"/>
          <w:szCs w:val="21"/>
        </w:rPr>
        <w:t>provided that</w:t>
      </w:r>
      <w:proofErr w:type="gramEnd"/>
      <w:r w:rsidRPr="002533ED">
        <w:rPr>
          <w:rFonts w:asciiTheme="minorHAnsi" w:hAnsiTheme="minorHAnsi" w:cstheme="minorHAnsi"/>
          <w:bCs/>
          <w:sz w:val="21"/>
          <w:szCs w:val="21"/>
        </w:rPr>
        <w:t xml:space="preserve"> it is allowed under applicable national organic legislation. By way of derogation from point 1.8.1, operators in third countries may use non-organic plant reproductive material authorized in accordance with point 1.8.6 when organic plant reproductive material is justified to be not available in sufficient quality or quantity in the territory of the third country in which the operator is located.</w:t>
      </w:r>
      <w:r w:rsidR="008E2FDB" w:rsidRPr="002533ED">
        <w:rPr>
          <w:rFonts w:asciiTheme="minorHAnsi" w:hAnsiTheme="minorHAnsi" w:cstheme="minorHAnsi"/>
          <w:bCs/>
          <w:sz w:val="21"/>
          <w:szCs w:val="21"/>
        </w:rPr>
        <w:t xml:space="preserve"> T</w:t>
      </w:r>
      <w:r w:rsidRPr="002533ED">
        <w:rPr>
          <w:rFonts w:asciiTheme="minorHAnsi" w:hAnsiTheme="minorHAnsi" w:cstheme="minorHAnsi"/>
          <w:bCs/>
          <w:sz w:val="21"/>
          <w:szCs w:val="21"/>
        </w:rPr>
        <w:t>he operation must obtain written authorization from QCS to use non-organic plant reproductive material for</w:t>
      </w:r>
      <w:r w:rsidR="00DA2215" w:rsidRPr="002533ED">
        <w:rPr>
          <w:rFonts w:asciiTheme="minorHAnsi" w:hAnsiTheme="minorHAnsi" w:cstheme="minorHAnsi"/>
          <w:bCs/>
          <w:sz w:val="21"/>
          <w:szCs w:val="21"/>
        </w:rPr>
        <w:t xml:space="preserve"> </w:t>
      </w:r>
      <w:r w:rsidRPr="002533ED">
        <w:rPr>
          <w:rFonts w:asciiTheme="minorHAnsi" w:hAnsiTheme="minorHAnsi" w:cstheme="minorHAnsi"/>
          <w:bCs/>
          <w:sz w:val="21"/>
          <w:szCs w:val="21"/>
        </w:rPr>
        <w:t>each crop or cover crop before the sowing or planting of the crop. Authorization is only valid for one season</w:t>
      </w:r>
      <w:r w:rsidR="00DA2215" w:rsidRPr="002533ED">
        <w:rPr>
          <w:rFonts w:asciiTheme="minorHAnsi" w:hAnsiTheme="minorHAnsi" w:cstheme="minorHAnsi"/>
          <w:bCs/>
          <w:sz w:val="21"/>
          <w:szCs w:val="21"/>
        </w:rPr>
        <w:t xml:space="preserve"> </w:t>
      </w:r>
      <w:r w:rsidRPr="0032479E">
        <w:rPr>
          <w:rFonts w:asciiTheme="minorHAnsi" w:hAnsiTheme="minorHAnsi" w:cstheme="minorHAnsi"/>
          <w:bCs/>
          <w:sz w:val="21"/>
          <w:szCs w:val="21"/>
        </w:rPr>
        <w:t>at a time.</w:t>
      </w:r>
    </w:p>
    <w:p w14:paraId="7E21ED5A" w14:textId="77777777" w:rsidR="00331B7B" w:rsidRPr="002533ED" w:rsidRDefault="00331B7B" w:rsidP="00594796">
      <w:pPr>
        <w:jc w:val="both"/>
        <w:rPr>
          <w:rFonts w:asciiTheme="minorHAnsi" w:hAnsiTheme="minorHAnsi" w:cstheme="minorHAnsi"/>
          <w:sz w:val="22"/>
          <w:szCs w:val="22"/>
          <w:highlight w:val="yellow"/>
        </w:rPr>
      </w:pPr>
    </w:p>
    <w:p w14:paraId="77434986" w14:textId="1791FE17" w:rsidR="00331B7B" w:rsidRPr="0032479E" w:rsidRDefault="00331B7B" w:rsidP="00124734">
      <w:pPr>
        <w:jc w:val="both"/>
        <w:rPr>
          <w:rFonts w:asciiTheme="minorHAnsi" w:hAnsiTheme="minorHAnsi" w:cstheme="minorHAnsi"/>
          <w:bCs/>
          <w:sz w:val="21"/>
          <w:szCs w:val="21"/>
        </w:rPr>
      </w:pPr>
      <w:r w:rsidRPr="002533ED">
        <w:rPr>
          <w:rFonts w:asciiTheme="minorHAnsi" w:hAnsiTheme="minorHAnsi" w:cstheme="minorHAnsi"/>
          <w:b/>
          <w:sz w:val="22"/>
          <w:szCs w:val="22"/>
        </w:rPr>
        <w:t>Recordkeeping</w:t>
      </w:r>
      <w:r w:rsidR="00124734" w:rsidRPr="002533ED">
        <w:rPr>
          <w:rFonts w:asciiTheme="minorHAnsi" w:hAnsiTheme="minorHAnsi" w:cstheme="minorHAnsi"/>
          <w:b/>
          <w:sz w:val="22"/>
          <w:szCs w:val="22"/>
        </w:rPr>
        <w:t>.</w:t>
      </w:r>
      <w:r w:rsidR="006F2DC5" w:rsidRPr="002533ED">
        <w:rPr>
          <w:rFonts w:asciiTheme="minorHAnsi" w:hAnsiTheme="minorHAnsi" w:cstheme="minorHAnsi"/>
          <w:b/>
          <w:sz w:val="22"/>
          <w:szCs w:val="22"/>
        </w:rPr>
        <w:t xml:space="preserve"> </w:t>
      </w:r>
      <w:r w:rsidR="00124734" w:rsidRPr="002533ED">
        <w:rPr>
          <w:rFonts w:asciiTheme="minorHAnsi" w:hAnsiTheme="minorHAnsi" w:cstheme="minorHAnsi"/>
          <w:bCs/>
          <w:sz w:val="21"/>
          <w:szCs w:val="21"/>
        </w:rPr>
        <w:t xml:space="preserve">Operators shall keep records regarding </w:t>
      </w:r>
      <w:r w:rsidR="00617187" w:rsidRPr="002533ED">
        <w:rPr>
          <w:rFonts w:asciiTheme="minorHAnsi" w:hAnsiTheme="minorHAnsi" w:cstheme="minorHAnsi"/>
          <w:bCs/>
          <w:sz w:val="21"/>
          <w:szCs w:val="21"/>
        </w:rPr>
        <w:t>all organic</w:t>
      </w:r>
      <w:r w:rsidR="003F00B7" w:rsidRPr="002533ED">
        <w:rPr>
          <w:rFonts w:asciiTheme="minorHAnsi" w:hAnsiTheme="minorHAnsi" w:cstheme="minorHAnsi"/>
          <w:bCs/>
          <w:sz w:val="21"/>
          <w:szCs w:val="21"/>
        </w:rPr>
        <w:t xml:space="preserve"> and </w:t>
      </w:r>
      <w:r w:rsidR="00617187" w:rsidRPr="002533ED">
        <w:rPr>
          <w:rFonts w:asciiTheme="minorHAnsi" w:hAnsiTheme="minorHAnsi" w:cstheme="minorHAnsi"/>
          <w:bCs/>
          <w:sz w:val="21"/>
          <w:szCs w:val="21"/>
        </w:rPr>
        <w:t xml:space="preserve">in-conversion production </w:t>
      </w:r>
      <w:r w:rsidR="001B4BFC" w:rsidRPr="002533ED">
        <w:rPr>
          <w:rFonts w:asciiTheme="minorHAnsi" w:hAnsiTheme="minorHAnsi" w:cstheme="minorHAnsi"/>
          <w:bCs/>
          <w:sz w:val="21"/>
          <w:szCs w:val="21"/>
        </w:rPr>
        <w:t xml:space="preserve">activities </w:t>
      </w:r>
      <w:r w:rsidR="00617187" w:rsidRPr="002533ED">
        <w:rPr>
          <w:rFonts w:asciiTheme="minorHAnsi" w:hAnsiTheme="minorHAnsi" w:cstheme="minorHAnsi"/>
          <w:bCs/>
          <w:sz w:val="21"/>
          <w:szCs w:val="21"/>
        </w:rPr>
        <w:t xml:space="preserve">occurring </w:t>
      </w:r>
      <w:r w:rsidR="0051476B" w:rsidRPr="002533ED">
        <w:rPr>
          <w:rFonts w:asciiTheme="minorHAnsi" w:hAnsiTheme="minorHAnsi" w:cstheme="minorHAnsi"/>
          <w:bCs/>
          <w:sz w:val="21"/>
          <w:szCs w:val="21"/>
        </w:rPr>
        <w:t xml:space="preserve">on </w:t>
      </w:r>
      <w:r w:rsidR="00124734" w:rsidRPr="002533ED">
        <w:rPr>
          <w:rFonts w:asciiTheme="minorHAnsi" w:hAnsiTheme="minorHAnsi" w:cstheme="minorHAnsi"/>
          <w:bCs/>
          <w:sz w:val="21"/>
          <w:szCs w:val="21"/>
        </w:rPr>
        <w:t>the parcels</w:t>
      </w:r>
      <w:r w:rsidR="003F00B7" w:rsidRPr="002533ED">
        <w:rPr>
          <w:rFonts w:asciiTheme="minorHAnsi" w:hAnsiTheme="minorHAnsi" w:cstheme="minorHAnsi"/>
          <w:bCs/>
          <w:sz w:val="21"/>
          <w:szCs w:val="21"/>
        </w:rPr>
        <w:t xml:space="preserve">, </w:t>
      </w:r>
      <w:r w:rsidR="00B729F7" w:rsidRPr="002533ED">
        <w:rPr>
          <w:rFonts w:asciiTheme="minorHAnsi" w:hAnsiTheme="minorHAnsi" w:cstheme="minorHAnsi"/>
          <w:bCs/>
          <w:sz w:val="21"/>
          <w:szCs w:val="21"/>
        </w:rPr>
        <w:t>including amounts</w:t>
      </w:r>
      <w:r w:rsidR="00124734" w:rsidRPr="002533ED">
        <w:rPr>
          <w:rFonts w:asciiTheme="minorHAnsi" w:hAnsiTheme="minorHAnsi" w:cstheme="minorHAnsi"/>
          <w:bCs/>
          <w:sz w:val="21"/>
          <w:szCs w:val="21"/>
        </w:rPr>
        <w:t xml:space="preserve"> harvest</w:t>
      </w:r>
      <w:r w:rsidR="00B729F7" w:rsidRPr="002533ED">
        <w:rPr>
          <w:rFonts w:asciiTheme="minorHAnsi" w:hAnsiTheme="minorHAnsi" w:cstheme="minorHAnsi"/>
          <w:bCs/>
          <w:sz w:val="21"/>
          <w:szCs w:val="21"/>
        </w:rPr>
        <w:t>ed</w:t>
      </w:r>
      <w:r w:rsidR="003F00B7" w:rsidRPr="002533ED">
        <w:rPr>
          <w:rFonts w:asciiTheme="minorHAnsi" w:hAnsiTheme="minorHAnsi" w:cstheme="minorHAnsi"/>
          <w:bCs/>
          <w:sz w:val="21"/>
          <w:szCs w:val="21"/>
        </w:rPr>
        <w:t xml:space="preserve"> and</w:t>
      </w:r>
      <w:r w:rsidR="0051476B" w:rsidRPr="002533ED">
        <w:rPr>
          <w:rFonts w:asciiTheme="minorHAnsi" w:hAnsiTheme="minorHAnsi" w:cstheme="minorHAnsi"/>
          <w:bCs/>
          <w:sz w:val="21"/>
          <w:szCs w:val="21"/>
        </w:rPr>
        <w:t xml:space="preserve"> </w:t>
      </w:r>
      <w:r w:rsidR="00124734" w:rsidRPr="002533ED">
        <w:rPr>
          <w:rFonts w:asciiTheme="minorHAnsi" w:hAnsiTheme="minorHAnsi" w:cstheme="minorHAnsi"/>
          <w:bCs/>
          <w:sz w:val="21"/>
          <w:szCs w:val="21"/>
        </w:rPr>
        <w:t xml:space="preserve">records of </w:t>
      </w:r>
      <w:r w:rsidR="0051476B" w:rsidRPr="002533ED">
        <w:rPr>
          <w:rFonts w:asciiTheme="minorHAnsi" w:hAnsiTheme="minorHAnsi" w:cstheme="minorHAnsi"/>
          <w:bCs/>
          <w:sz w:val="21"/>
          <w:szCs w:val="21"/>
        </w:rPr>
        <w:t xml:space="preserve">all </w:t>
      </w:r>
      <w:r w:rsidR="00124734" w:rsidRPr="002533ED">
        <w:rPr>
          <w:rFonts w:asciiTheme="minorHAnsi" w:hAnsiTheme="minorHAnsi" w:cstheme="minorHAnsi"/>
          <w:bCs/>
          <w:sz w:val="21"/>
          <w:szCs w:val="21"/>
        </w:rPr>
        <w:t>external input</w:t>
      </w:r>
      <w:r w:rsidR="0051476B" w:rsidRPr="002533ED">
        <w:rPr>
          <w:rFonts w:asciiTheme="minorHAnsi" w:hAnsiTheme="minorHAnsi" w:cstheme="minorHAnsi"/>
          <w:bCs/>
          <w:sz w:val="21"/>
          <w:szCs w:val="21"/>
        </w:rPr>
        <w:t>s</w:t>
      </w:r>
      <w:r w:rsidR="00124734" w:rsidRPr="002533ED">
        <w:rPr>
          <w:rFonts w:asciiTheme="minorHAnsi" w:hAnsiTheme="minorHAnsi" w:cstheme="minorHAnsi"/>
          <w:bCs/>
          <w:sz w:val="21"/>
          <w:szCs w:val="21"/>
        </w:rPr>
        <w:t xml:space="preserve"> used on each parcel</w:t>
      </w:r>
      <w:r w:rsidR="00FD11E9" w:rsidRPr="002533ED">
        <w:rPr>
          <w:rFonts w:asciiTheme="minorHAnsi" w:hAnsiTheme="minorHAnsi" w:cstheme="minorHAnsi"/>
          <w:bCs/>
          <w:sz w:val="21"/>
          <w:szCs w:val="21"/>
        </w:rPr>
        <w:t>.</w:t>
      </w:r>
      <w:r w:rsidR="006F2DC5" w:rsidRPr="002533ED">
        <w:rPr>
          <w:rFonts w:asciiTheme="minorHAnsi" w:hAnsiTheme="minorHAnsi" w:cstheme="minorHAnsi"/>
          <w:bCs/>
          <w:sz w:val="21"/>
          <w:szCs w:val="21"/>
        </w:rPr>
        <w:t xml:space="preserve"> </w:t>
      </w:r>
      <w:r w:rsidR="00B729F7" w:rsidRPr="002533ED">
        <w:rPr>
          <w:rFonts w:asciiTheme="minorHAnsi" w:hAnsiTheme="minorHAnsi" w:cstheme="minorHAnsi"/>
          <w:bCs/>
          <w:sz w:val="21"/>
          <w:szCs w:val="21"/>
        </w:rPr>
        <w:t>O</w:t>
      </w:r>
      <w:r w:rsidR="00FD11E9" w:rsidRPr="002533ED">
        <w:rPr>
          <w:rFonts w:asciiTheme="minorHAnsi" w:hAnsiTheme="minorHAnsi" w:cstheme="minorHAnsi"/>
          <w:bCs/>
          <w:sz w:val="21"/>
          <w:szCs w:val="21"/>
        </w:rPr>
        <w:t>perators must</w:t>
      </w:r>
      <w:r w:rsidR="00124734" w:rsidRPr="002533ED">
        <w:rPr>
          <w:rFonts w:asciiTheme="minorHAnsi" w:hAnsiTheme="minorHAnsi" w:cstheme="minorHAnsi"/>
          <w:bCs/>
          <w:sz w:val="21"/>
          <w:szCs w:val="21"/>
        </w:rPr>
        <w:t xml:space="preserve"> </w:t>
      </w:r>
      <w:r w:rsidR="00B729F7" w:rsidRPr="002533ED">
        <w:rPr>
          <w:rFonts w:asciiTheme="minorHAnsi" w:hAnsiTheme="minorHAnsi" w:cstheme="minorHAnsi"/>
          <w:bCs/>
          <w:sz w:val="21"/>
          <w:szCs w:val="21"/>
        </w:rPr>
        <w:t xml:space="preserve">also </w:t>
      </w:r>
      <w:r w:rsidR="00B729F7" w:rsidRPr="0032479E">
        <w:rPr>
          <w:rFonts w:asciiTheme="minorHAnsi" w:hAnsiTheme="minorHAnsi" w:cstheme="minorHAnsi"/>
          <w:bCs/>
          <w:sz w:val="21"/>
          <w:szCs w:val="21"/>
        </w:rPr>
        <w:t>maintain</w:t>
      </w:r>
      <w:r w:rsidR="00124734" w:rsidRPr="0032479E">
        <w:rPr>
          <w:rFonts w:asciiTheme="minorHAnsi" w:hAnsiTheme="minorHAnsi" w:cstheme="minorHAnsi"/>
          <w:bCs/>
          <w:sz w:val="21"/>
          <w:szCs w:val="21"/>
        </w:rPr>
        <w:t xml:space="preserve"> </w:t>
      </w:r>
      <w:r w:rsidR="00D870FF" w:rsidRPr="0032479E">
        <w:rPr>
          <w:rFonts w:asciiTheme="minorHAnsi" w:hAnsiTheme="minorHAnsi" w:cstheme="minorHAnsi"/>
          <w:bCs/>
          <w:sz w:val="21"/>
          <w:szCs w:val="21"/>
        </w:rPr>
        <w:t xml:space="preserve">records concerning </w:t>
      </w:r>
      <w:r w:rsidR="00124734" w:rsidRPr="0032479E">
        <w:rPr>
          <w:rFonts w:asciiTheme="minorHAnsi" w:hAnsiTheme="minorHAnsi" w:cstheme="minorHAnsi"/>
          <w:bCs/>
          <w:sz w:val="21"/>
          <w:szCs w:val="21"/>
        </w:rPr>
        <w:t>any derogation from production rules obtained in accordance with point 1.8.5.</w:t>
      </w:r>
    </w:p>
    <w:p w14:paraId="6B688A85" w14:textId="77777777" w:rsidR="00331B7B" w:rsidRPr="002533ED" w:rsidRDefault="00331B7B" w:rsidP="00594796">
      <w:pPr>
        <w:jc w:val="both"/>
        <w:rPr>
          <w:rFonts w:asciiTheme="minorHAnsi" w:hAnsiTheme="minorHAnsi" w:cstheme="minorHAnsi"/>
          <w:sz w:val="22"/>
          <w:szCs w:val="22"/>
        </w:rPr>
      </w:pPr>
    </w:p>
    <w:p w14:paraId="35265617" w14:textId="26ABF5CB" w:rsidR="009A28C6" w:rsidRPr="0032479E" w:rsidRDefault="00331B7B" w:rsidP="006036F9">
      <w:pPr>
        <w:jc w:val="both"/>
        <w:rPr>
          <w:rFonts w:asciiTheme="minorHAnsi" w:hAnsiTheme="minorHAnsi" w:cstheme="minorHAnsi"/>
          <w:sz w:val="21"/>
          <w:szCs w:val="21"/>
        </w:rPr>
      </w:pPr>
      <w:r w:rsidRPr="002533ED">
        <w:rPr>
          <w:rFonts w:asciiTheme="minorHAnsi" w:hAnsiTheme="minorHAnsi" w:cstheme="minorHAnsi"/>
          <w:b/>
          <w:sz w:val="22"/>
          <w:szCs w:val="22"/>
        </w:rPr>
        <w:t>Labeling</w:t>
      </w:r>
      <w:r w:rsidRPr="002533ED">
        <w:rPr>
          <w:rFonts w:asciiTheme="minorHAnsi" w:hAnsiTheme="minorHAnsi" w:cstheme="minorHAnsi"/>
          <w:sz w:val="22"/>
          <w:szCs w:val="22"/>
        </w:rPr>
        <w:t xml:space="preserve"> </w:t>
      </w:r>
      <w:r w:rsidR="00B40F25" w:rsidRPr="002533ED">
        <w:rPr>
          <w:rFonts w:asciiTheme="minorHAnsi" w:hAnsiTheme="minorHAnsi" w:cstheme="minorHAnsi"/>
          <w:b/>
          <w:bCs/>
          <w:sz w:val="22"/>
          <w:szCs w:val="22"/>
        </w:rPr>
        <w:t>(</w:t>
      </w:r>
      <w:r w:rsidR="004D02D6" w:rsidRPr="002533ED">
        <w:rPr>
          <w:rFonts w:asciiTheme="minorHAnsi" w:hAnsiTheme="minorHAnsi" w:cstheme="minorHAnsi"/>
          <w:b/>
          <w:bCs/>
          <w:sz w:val="22"/>
          <w:szCs w:val="22"/>
        </w:rPr>
        <w:t>EU</w:t>
      </w:r>
      <w:r w:rsidR="00B40F25" w:rsidRPr="002533ED">
        <w:rPr>
          <w:rFonts w:asciiTheme="minorHAnsi" w:hAnsiTheme="minorHAnsi" w:cstheme="minorHAnsi"/>
          <w:b/>
          <w:bCs/>
          <w:sz w:val="22"/>
          <w:szCs w:val="22"/>
        </w:rPr>
        <w:t xml:space="preserve">) </w:t>
      </w:r>
      <w:r w:rsidR="004D02D6" w:rsidRPr="002533ED">
        <w:rPr>
          <w:rFonts w:asciiTheme="minorHAnsi" w:hAnsiTheme="minorHAnsi" w:cstheme="minorHAnsi"/>
          <w:b/>
          <w:bCs/>
          <w:sz w:val="22"/>
          <w:szCs w:val="22"/>
        </w:rPr>
        <w:t>848 Article 30</w:t>
      </w:r>
      <w:r w:rsidR="00E2668E" w:rsidRPr="002533ED">
        <w:rPr>
          <w:rFonts w:asciiTheme="minorHAnsi" w:hAnsiTheme="minorHAnsi" w:cstheme="minorHAnsi"/>
          <w:b/>
          <w:bCs/>
          <w:sz w:val="22"/>
          <w:szCs w:val="22"/>
        </w:rPr>
        <w:t>.</w:t>
      </w:r>
      <w:r w:rsidR="004D02D6" w:rsidRPr="002533ED">
        <w:rPr>
          <w:rFonts w:asciiTheme="minorHAnsi" w:hAnsiTheme="minorHAnsi" w:cstheme="minorHAnsi"/>
          <w:sz w:val="22"/>
          <w:szCs w:val="22"/>
        </w:rPr>
        <w:t xml:space="preserve"> </w:t>
      </w:r>
      <w:r w:rsidR="009A28C6" w:rsidRPr="002533ED">
        <w:rPr>
          <w:rFonts w:asciiTheme="minorHAnsi" w:hAnsiTheme="minorHAnsi" w:cstheme="minorHAnsi"/>
          <w:sz w:val="21"/>
          <w:szCs w:val="21"/>
        </w:rPr>
        <w:t xml:space="preserve">QCS must verify compliance of all labels used and intended for use on EU organic products, packaging, containers, and commercial documents as applicable, including products </w:t>
      </w:r>
      <w:r w:rsidR="00E2668E" w:rsidRPr="002533ED">
        <w:rPr>
          <w:rFonts w:asciiTheme="minorHAnsi" w:hAnsiTheme="minorHAnsi" w:cstheme="minorHAnsi"/>
          <w:sz w:val="21"/>
          <w:szCs w:val="21"/>
        </w:rPr>
        <w:t>subsequently</w:t>
      </w:r>
      <w:r w:rsidR="009A28C6" w:rsidRPr="002533ED">
        <w:rPr>
          <w:rFonts w:asciiTheme="minorHAnsi" w:hAnsiTheme="minorHAnsi" w:cstheme="minorHAnsi"/>
          <w:sz w:val="21"/>
          <w:szCs w:val="21"/>
        </w:rPr>
        <w:t xml:space="preserve"> handled by another operator prior to export to the EU. Annex III of (EC) No 2018/848 describes the compulsory indications required on product to be imported in</w:t>
      </w:r>
      <w:r w:rsidR="009C438F" w:rsidRPr="002533ED">
        <w:rPr>
          <w:rFonts w:asciiTheme="minorHAnsi" w:hAnsiTheme="minorHAnsi" w:cstheme="minorHAnsi"/>
          <w:sz w:val="21"/>
          <w:szCs w:val="21"/>
        </w:rPr>
        <w:t>to</w:t>
      </w:r>
      <w:r w:rsidR="009A28C6" w:rsidRPr="002533ED">
        <w:rPr>
          <w:rFonts w:asciiTheme="minorHAnsi" w:hAnsiTheme="minorHAnsi" w:cstheme="minorHAnsi"/>
          <w:sz w:val="21"/>
          <w:szCs w:val="21"/>
        </w:rPr>
        <w:t xml:space="preserve"> the EU and for verification by the importer.</w:t>
      </w:r>
      <w:r w:rsidR="006036F9" w:rsidRPr="002533ED">
        <w:rPr>
          <w:rFonts w:asciiTheme="minorHAnsi" w:hAnsiTheme="minorHAnsi" w:cstheme="minorHAnsi"/>
          <w:sz w:val="21"/>
          <w:szCs w:val="21"/>
        </w:rPr>
        <w:t xml:space="preserve"> </w:t>
      </w:r>
      <w:r w:rsidR="009A28C6" w:rsidRPr="002533ED">
        <w:rPr>
          <w:rFonts w:asciiTheme="minorHAnsi" w:hAnsiTheme="minorHAnsi" w:cstheme="minorHAnsi"/>
          <w:sz w:val="21"/>
          <w:szCs w:val="21"/>
        </w:rPr>
        <w:t xml:space="preserve">References in relation to organic shall be easily visible, clearly </w:t>
      </w:r>
      <w:r w:rsidR="00C905ED" w:rsidRPr="002533ED">
        <w:rPr>
          <w:rFonts w:asciiTheme="minorHAnsi" w:hAnsiTheme="minorHAnsi" w:cstheme="minorHAnsi"/>
          <w:sz w:val="21"/>
          <w:szCs w:val="21"/>
        </w:rPr>
        <w:t>legible,</w:t>
      </w:r>
      <w:r w:rsidR="009A28C6" w:rsidRPr="002533ED">
        <w:rPr>
          <w:rFonts w:asciiTheme="minorHAnsi" w:hAnsiTheme="minorHAnsi" w:cstheme="minorHAnsi"/>
          <w:sz w:val="21"/>
          <w:szCs w:val="21"/>
        </w:rPr>
        <w:t xml:space="preserve"> and indelible. </w:t>
      </w:r>
      <w:r w:rsidR="00734BE9" w:rsidRPr="002533ED">
        <w:rPr>
          <w:rFonts w:asciiTheme="minorHAnsi" w:hAnsiTheme="minorHAnsi" w:cstheme="minorHAnsi"/>
          <w:sz w:val="21"/>
          <w:szCs w:val="21"/>
        </w:rPr>
        <w:t>All labels (retail and non-retail) must use the code number of the control body (certifier) who has carried out the most recent production or preparation of the product.</w:t>
      </w:r>
      <w:r w:rsidR="006F2DC5" w:rsidRPr="002533ED">
        <w:rPr>
          <w:rFonts w:asciiTheme="minorHAnsi" w:hAnsiTheme="minorHAnsi" w:cstheme="minorHAnsi"/>
          <w:sz w:val="21"/>
          <w:szCs w:val="21"/>
        </w:rPr>
        <w:t xml:space="preserve"> </w:t>
      </w:r>
      <w:r w:rsidR="00734BE9" w:rsidRPr="002533ED">
        <w:rPr>
          <w:rFonts w:asciiTheme="minorHAnsi" w:hAnsiTheme="minorHAnsi" w:cstheme="minorHAnsi"/>
          <w:sz w:val="21"/>
          <w:szCs w:val="21"/>
        </w:rPr>
        <w:t>Operations outside the US, use “&lt;country code&gt;-BIO-144.</w:t>
      </w:r>
      <w:r w:rsidR="00203624" w:rsidRPr="002533ED">
        <w:rPr>
          <w:rFonts w:asciiTheme="minorHAnsi" w:hAnsiTheme="minorHAnsi" w:cstheme="minorHAnsi"/>
          <w:sz w:val="21"/>
          <w:szCs w:val="21"/>
        </w:rPr>
        <w:t>”</w:t>
      </w:r>
      <w:r w:rsidR="006F2DC5" w:rsidRPr="002533ED">
        <w:rPr>
          <w:rFonts w:asciiTheme="minorHAnsi" w:hAnsiTheme="minorHAnsi" w:cstheme="minorHAnsi"/>
          <w:sz w:val="21"/>
          <w:szCs w:val="21"/>
        </w:rPr>
        <w:t xml:space="preserve"> </w:t>
      </w:r>
      <w:r w:rsidR="00734BE9" w:rsidRPr="002533ED">
        <w:rPr>
          <w:rFonts w:asciiTheme="minorHAnsi" w:hAnsiTheme="minorHAnsi" w:cstheme="minorHAnsi"/>
          <w:sz w:val="21"/>
          <w:szCs w:val="21"/>
          <w:u w:val="single"/>
        </w:rPr>
        <w:t>US operations</w:t>
      </w:r>
      <w:r w:rsidR="00734BE9" w:rsidRPr="002533ED">
        <w:rPr>
          <w:rFonts w:asciiTheme="minorHAnsi" w:hAnsiTheme="minorHAnsi" w:cstheme="minorHAnsi"/>
          <w:sz w:val="21"/>
          <w:szCs w:val="21"/>
        </w:rPr>
        <w:t xml:space="preserve"> use “US-ORG-51.”</w:t>
      </w:r>
      <w:r w:rsidR="006F2DC5" w:rsidRPr="002533ED">
        <w:rPr>
          <w:rFonts w:asciiTheme="minorHAnsi" w:hAnsiTheme="minorHAnsi" w:cstheme="minorHAnsi"/>
          <w:sz w:val="21"/>
          <w:szCs w:val="21"/>
        </w:rPr>
        <w:t xml:space="preserve"> </w:t>
      </w:r>
      <w:r w:rsidR="00734BE9" w:rsidRPr="002533ED">
        <w:rPr>
          <w:rFonts w:asciiTheme="minorHAnsi" w:hAnsiTheme="minorHAnsi" w:cstheme="minorHAnsi"/>
          <w:sz w:val="21"/>
          <w:szCs w:val="21"/>
        </w:rPr>
        <w:t xml:space="preserve">Click here for a list of </w:t>
      </w:r>
      <w:hyperlink r:id="rId12" w:anchor="search" w:history="1">
        <w:r w:rsidR="00734BE9" w:rsidRPr="002533ED">
          <w:rPr>
            <w:rStyle w:val="Hyperlink"/>
            <w:rFonts w:asciiTheme="minorHAnsi" w:hAnsiTheme="minorHAnsi" w:cstheme="minorHAnsi"/>
            <w:sz w:val="21"/>
            <w:szCs w:val="21"/>
          </w:rPr>
          <w:t>country codes</w:t>
        </w:r>
      </w:hyperlink>
      <w:r w:rsidR="00734BE9" w:rsidRPr="002533ED">
        <w:rPr>
          <w:rStyle w:val="Hyperlink"/>
          <w:rFonts w:asciiTheme="minorHAnsi" w:hAnsiTheme="minorHAnsi" w:cstheme="minorHAnsi"/>
          <w:sz w:val="21"/>
          <w:szCs w:val="21"/>
        </w:rPr>
        <w:t>.</w:t>
      </w:r>
      <w:r w:rsidR="006F2DC5" w:rsidRPr="002533ED">
        <w:rPr>
          <w:rStyle w:val="Hyperlink"/>
          <w:rFonts w:asciiTheme="minorHAnsi" w:hAnsiTheme="minorHAnsi" w:cstheme="minorHAnsi"/>
          <w:sz w:val="21"/>
          <w:szCs w:val="21"/>
          <w:u w:val="none"/>
        </w:rPr>
        <w:t xml:space="preserve"> </w:t>
      </w:r>
      <w:r w:rsidR="00B9310C" w:rsidRPr="002533ED">
        <w:rPr>
          <w:rStyle w:val="Hyperlink"/>
          <w:rFonts w:asciiTheme="minorHAnsi" w:hAnsiTheme="minorHAnsi" w:cstheme="minorHAnsi"/>
          <w:color w:val="auto"/>
          <w:sz w:val="21"/>
          <w:szCs w:val="21"/>
          <w:u w:val="none"/>
        </w:rPr>
        <w:t xml:space="preserve">Refer to </w:t>
      </w:r>
      <w:hyperlink r:id="rId13" w:history="1">
        <w:r w:rsidR="00203624" w:rsidRPr="002533ED">
          <w:rPr>
            <w:rStyle w:val="Hyperlink"/>
            <w:rFonts w:asciiTheme="minorHAnsi" w:hAnsiTheme="minorHAnsi" w:cstheme="minorHAnsi"/>
            <w:sz w:val="21"/>
            <w:szCs w:val="21"/>
          </w:rPr>
          <w:t>t</w:t>
        </w:r>
        <w:r w:rsidR="00B9310C" w:rsidRPr="002533ED">
          <w:rPr>
            <w:rStyle w:val="Hyperlink"/>
            <w:rFonts w:asciiTheme="minorHAnsi" w:hAnsiTheme="minorHAnsi" w:cstheme="minorHAnsi"/>
            <w:sz w:val="21"/>
            <w:szCs w:val="21"/>
          </w:rPr>
          <w:t>he organic logo (europa.eu)</w:t>
        </w:r>
      </w:hyperlink>
      <w:r w:rsidR="00DF6B49" w:rsidRPr="002533ED">
        <w:rPr>
          <w:rFonts w:asciiTheme="minorHAnsi" w:hAnsiTheme="minorHAnsi" w:cstheme="minorHAnsi"/>
          <w:sz w:val="21"/>
          <w:szCs w:val="21"/>
        </w:rPr>
        <w:t xml:space="preserve"> for details on the use of the EU organic </w:t>
      </w:r>
      <w:r w:rsidR="00DF6B49" w:rsidRPr="0032479E">
        <w:rPr>
          <w:rFonts w:asciiTheme="minorHAnsi" w:hAnsiTheme="minorHAnsi" w:cstheme="minorHAnsi"/>
          <w:sz w:val="21"/>
          <w:szCs w:val="21"/>
        </w:rPr>
        <w:t>logo.</w:t>
      </w:r>
      <w:r w:rsidR="006F2DC5" w:rsidRPr="0032479E">
        <w:rPr>
          <w:rFonts w:asciiTheme="minorHAnsi" w:hAnsiTheme="minorHAnsi" w:cstheme="minorHAnsi"/>
          <w:sz w:val="21"/>
          <w:szCs w:val="21"/>
        </w:rPr>
        <w:t xml:space="preserve"> </w:t>
      </w:r>
    </w:p>
    <w:p w14:paraId="59430A1B" w14:textId="77777777" w:rsidR="003B61B5" w:rsidRPr="002533ED" w:rsidRDefault="003B61B5" w:rsidP="006036F9">
      <w:pPr>
        <w:jc w:val="both"/>
        <w:rPr>
          <w:rFonts w:asciiTheme="minorHAnsi" w:hAnsiTheme="minorHAnsi" w:cstheme="minorHAnsi"/>
          <w:sz w:val="22"/>
          <w:szCs w:val="22"/>
        </w:rPr>
      </w:pPr>
    </w:p>
    <w:p w14:paraId="553ADE68" w14:textId="7C9158A0" w:rsidR="00C80561" w:rsidRPr="0032479E" w:rsidRDefault="00C80561" w:rsidP="00C80561">
      <w:pPr>
        <w:jc w:val="both"/>
        <w:rPr>
          <w:rFonts w:asciiTheme="minorHAnsi" w:hAnsiTheme="minorHAnsi" w:cstheme="minorHAnsi"/>
          <w:sz w:val="21"/>
          <w:szCs w:val="21"/>
        </w:rPr>
      </w:pPr>
      <w:r w:rsidRPr="002533ED">
        <w:rPr>
          <w:rFonts w:asciiTheme="minorHAnsi" w:hAnsiTheme="minorHAnsi" w:cstheme="minorHAnsi"/>
          <w:b/>
          <w:sz w:val="22"/>
          <w:szCs w:val="22"/>
        </w:rPr>
        <w:t xml:space="preserve">Conversion to organic production. </w:t>
      </w:r>
      <w:r w:rsidRPr="002533ED">
        <w:rPr>
          <w:rFonts w:asciiTheme="minorHAnsi" w:hAnsiTheme="minorHAnsi" w:cstheme="minorHAnsi"/>
          <w:bCs/>
          <w:sz w:val="21"/>
          <w:szCs w:val="21"/>
        </w:rPr>
        <w:t>Before crop products can be certified organic, the operator must apply all EU organic production rules during a conversion period of at least two years before sowing the crop or at least three years before the first harvest of perennial crops.</w:t>
      </w:r>
      <w:r w:rsidR="006F2DC5" w:rsidRPr="002533ED">
        <w:rPr>
          <w:rFonts w:asciiTheme="minorHAnsi" w:hAnsiTheme="minorHAnsi" w:cstheme="minorHAnsi"/>
          <w:bCs/>
          <w:sz w:val="21"/>
          <w:szCs w:val="21"/>
        </w:rPr>
        <w:t xml:space="preserve"> </w:t>
      </w:r>
      <w:r w:rsidRPr="002533ED">
        <w:rPr>
          <w:rFonts w:asciiTheme="minorHAnsi" w:hAnsiTheme="minorHAnsi" w:cstheme="minorHAnsi"/>
          <w:bCs/>
          <w:sz w:val="21"/>
          <w:szCs w:val="21"/>
        </w:rPr>
        <w:t xml:space="preserve">In the case of grassland or perennial forage, EU organic production rules must be applied during a period of at least two years before its use as organic feed. </w:t>
      </w:r>
      <w:r w:rsidRPr="002533ED">
        <w:rPr>
          <w:rFonts w:asciiTheme="minorHAnsi" w:hAnsiTheme="minorHAnsi" w:cstheme="minorHAnsi"/>
          <w:sz w:val="21"/>
          <w:szCs w:val="21"/>
        </w:rPr>
        <w:t>QCS recognizes the start of the conversion period as the date when the operation submits the organic system plan and applicable fees. Products that have been harvested from land or from perennial crops that have been under organic management for 12 months or more may be labelled as “in-</w:t>
      </w:r>
      <w:r w:rsidRPr="0032479E">
        <w:rPr>
          <w:rFonts w:asciiTheme="minorHAnsi" w:hAnsiTheme="minorHAnsi" w:cstheme="minorHAnsi"/>
          <w:sz w:val="21"/>
          <w:szCs w:val="21"/>
        </w:rPr>
        <w:t>conversion.”</w:t>
      </w:r>
    </w:p>
    <w:p w14:paraId="4C7CDC37" w14:textId="26AD58B5" w:rsidR="008231E7" w:rsidRPr="002533ED" w:rsidRDefault="008231E7">
      <w:pPr>
        <w:rPr>
          <w:rFonts w:asciiTheme="minorHAnsi" w:hAnsiTheme="minorHAnsi" w:cstheme="minorHAnsi"/>
          <w:sz w:val="22"/>
          <w:szCs w:val="22"/>
        </w:rPr>
      </w:pPr>
    </w:p>
    <w:p w14:paraId="329DC914" w14:textId="658C2539" w:rsidR="00C80561" w:rsidRPr="0032479E" w:rsidRDefault="00C80561" w:rsidP="00C80561">
      <w:pPr>
        <w:shd w:val="clear" w:color="auto" w:fill="FFFFFF"/>
        <w:jc w:val="both"/>
        <w:rPr>
          <w:rFonts w:asciiTheme="minorHAnsi" w:hAnsiTheme="minorHAnsi" w:cstheme="minorHAnsi"/>
          <w:sz w:val="21"/>
          <w:szCs w:val="21"/>
        </w:rPr>
      </w:pPr>
      <w:r w:rsidRPr="002533ED">
        <w:rPr>
          <w:rFonts w:asciiTheme="minorHAnsi" w:hAnsiTheme="minorHAnsi" w:cstheme="minorHAnsi"/>
          <w:b/>
          <w:bCs/>
          <w:sz w:val="22"/>
          <w:szCs w:val="22"/>
        </w:rPr>
        <w:t xml:space="preserve">Retroactive recognition of a previous period as part of the conversion period. </w:t>
      </w:r>
      <w:r w:rsidRPr="002533ED">
        <w:rPr>
          <w:rFonts w:asciiTheme="minorHAnsi" w:hAnsiTheme="minorHAnsi" w:cstheme="minorHAnsi"/>
          <w:sz w:val="21"/>
          <w:szCs w:val="21"/>
        </w:rPr>
        <w:t xml:space="preserve">QCS may retroactively recognize a previous period that was not under the oversight of an organic certifier as being part of the conversion period in very limited cases </w:t>
      </w:r>
      <w:r w:rsidR="006D7C4E" w:rsidRPr="002533ED">
        <w:rPr>
          <w:rFonts w:asciiTheme="minorHAnsi" w:hAnsiTheme="minorHAnsi" w:cstheme="minorHAnsi"/>
          <w:sz w:val="21"/>
          <w:szCs w:val="21"/>
        </w:rPr>
        <w:t>and only when</w:t>
      </w:r>
      <w:r w:rsidRPr="002533ED">
        <w:rPr>
          <w:rFonts w:asciiTheme="minorHAnsi" w:hAnsiTheme="minorHAnsi" w:cstheme="minorHAnsi"/>
          <w:sz w:val="21"/>
          <w:szCs w:val="21"/>
        </w:rPr>
        <w:t xml:space="preserve"> the operator can prove that the land parcels were natural or agricultural areas that have not been treated with substances not authorized for use in organic production for a period of at least three years.</w:t>
      </w:r>
      <w:r w:rsidR="006F2DC5" w:rsidRPr="002533ED">
        <w:rPr>
          <w:rFonts w:asciiTheme="minorHAnsi" w:hAnsiTheme="minorHAnsi" w:cstheme="minorHAnsi"/>
          <w:sz w:val="21"/>
          <w:szCs w:val="21"/>
        </w:rPr>
        <w:t xml:space="preserve"> </w:t>
      </w:r>
      <w:r w:rsidRPr="002533ED">
        <w:rPr>
          <w:rFonts w:asciiTheme="minorHAnsi" w:hAnsiTheme="minorHAnsi" w:cstheme="minorHAnsi"/>
          <w:sz w:val="21"/>
          <w:szCs w:val="21"/>
        </w:rPr>
        <w:t>Refer to the QCS Organic Certification Manual for d</w:t>
      </w:r>
      <w:r w:rsidR="00E26BE7" w:rsidRPr="002533ED">
        <w:rPr>
          <w:rFonts w:asciiTheme="minorHAnsi" w:hAnsiTheme="minorHAnsi" w:cstheme="minorHAnsi"/>
          <w:sz w:val="21"/>
          <w:szCs w:val="21"/>
        </w:rPr>
        <w:t>ocumentary and inspection</w:t>
      </w:r>
      <w:r w:rsidRPr="002533ED">
        <w:rPr>
          <w:rFonts w:asciiTheme="minorHAnsi" w:hAnsiTheme="minorHAnsi" w:cstheme="minorHAnsi"/>
          <w:sz w:val="21"/>
          <w:szCs w:val="21"/>
        </w:rPr>
        <w:t xml:space="preserve"> requirements </w:t>
      </w:r>
      <w:r w:rsidR="00B81655" w:rsidRPr="0032479E">
        <w:rPr>
          <w:rFonts w:asciiTheme="minorHAnsi" w:hAnsiTheme="minorHAnsi" w:cstheme="minorHAnsi"/>
          <w:sz w:val="21"/>
          <w:szCs w:val="21"/>
        </w:rPr>
        <w:t>to</w:t>
      </w:r>
      <w:r w:rsidRPr="0032479E">
        <w:rPr>
          <w:rFonts w:asciiTheme="minorHAnsi" w:hAnsiTheme="minorHAnsi" w:cstheme="minorHAnsi"/>
          <w:sz w:val="21"/>
          <w:szCs w:val="21"/>
        </w:rPr>
        <w:t xml:space="preserve"> demonstrat</w:t>
      </w:r>
      <w:r w:rsidR="00B81655" w:rsidRPr="0032479E">
        <w:rPr>
          <w:rFonts w:asciiTheme="minorHAnsi" w:hAnsiTheme="minorHAnsi" w:cstheme="minorHAnsi"/>
          <w:sz w:val="21"/>
          <w:szCs w:val="21"/>
        </w:rPr>
        <w:t>e</w:t>
      </w:r>
      <w:r w:rsidRPr="0032479E">
        <w:rPr>
          <w:rFonts w:asciiTheme="minorHAnsi" w:hAnsiTheme="minorHAnsi" w:cstheme="minorHAnsi"/>
          <w:sz w:val="21"/>
          <w:szCs w:val="21"/>
        </w:rPr>
        <w:t xml:space="preserve"> eligibility for retroactive recognition in accordance with Article 10(3) of Regulation (EU) 2018/848.</w:t>
      </w:r>
    </w:p>
    <w:p w14:paraId="0A3E152D" w14:textId="77777777" w:rsidR="00D837EA" w:rsidRPr="002533ED" w:rsidRDefault="00D837EA" w:rsidP="00C80561">
      <w:pPr>
        <w:shd w:val="clear" w:color="auto" w:fill="FFFFFF"/>
        <w:jc w:val="both"/>
        <w:rPr>
          <w:rFonts w:asciiTheme="minorHAnsi" w:hAnsiTheme="minorHAnsi" w:cstheme="minorHAnsi"/>
          <w:sz w:val="22"/>
          <w:szCs w:val="22"/>
        </w:rPr>
      </w:pPr>
    </w:p>
    <w:p w14:paraId="5975B35C" w14:textId="47CDFECB" w:rsidR="00D837EA" w:rsidRPr="0032479E" w:rsidRDefault="00D837EA" w:rsidP="00C80561">
      <w:pPr>
        <w:shd w:val="clear" w:color="auto" w:fill="FFFFFF"/>
        <w:jc w:val="both"/>
        <w:rPr>
          <w:rFonts w:asciiTheme="minorHAnsi" w:hAnsiTheme="minorHAnsi" w:cstheme="minorHAnsi"/>
          <w:sz w:val="21"/>
          <w:szCs w:val="21"/>
        </w:rPr>
      </w:pPr>
      <w:r w:rsidRPr="002533ED">
        <w:rPr>
          <w:rFonts w:asciiTheme="minorHAnsi" w:hAnsiTheme="minorHAnsi" w:cstheme="minorHAnsi"/>
          <w:b/>
          <w:bCs/>
          <w:sz w:val="22"/>
          <w:szCs w:val="22"/>
        </w:rPr>
        <w:t>Controls.</w:t>
      </w:r>
      <w:r w:rsidR="006F2DC5" w:rsidRPr="002533ED">
        <w:rPr>
          <w:rFonts w:asciiTheme="minorHAnsi" w:hAnsiTheme="minorHAnsi" w:cstheme="minorHAnsi"/>
          <w:b/>
          <w:bCs/>
          <w:sz w:val="22"/>
          <w:szCs w:val="22"/>
        </w:rPr>
        <w:t xml:space="preserve"> </w:t>
      </w:r>
      <w:r w:rsidRPr="002533ED">
        <w:rPr>
          <w:rFonts w:asciiTheme="minorHAnsi" w:hAnsiTheme="minorHAnsi" w:cstheme="minorHAnsi"/>
          <w:sz w:val="21"/>
          <w:szCs w:val="21"/>
        </w:rPr>
        <w:t xml:space="preserve">All operations must undergo an initial and annual on-site inspection </w:t>
      </w:r>
      <w:r w:rsidR="002F3ED9" w:rsidRPr="002533ED">
        <w:rPr>
          <w:rFonts w:asciiTheme="minorHAnsi" w:hAnsiTheme="minorHAnsi" w:cstheme="minorHAnsi"/>
          <w:sz w:val="21"/>
          <w:szCs w:val="21"/>
        </w:rPr>
        <w:t xml:space="preserve">by the certification body </w:t>
      </w:r>
      <w:r w:rsidRPr="002533ED">
        <w:rPr>
          <w:rFonts w:asciiTheme="minorHAnsi" w:hAnsiTheme="minorHAnsi" w:cstheme="minorHAnsi"/>
          <w:sz w:val="21"/>
          <w:szCs w:val="21"/>
        </w:rPr>
        <w:t xml:space="preserve">to </w:t>
      </w:r>
      <w:r w:rsidR="00B64949" w:rsidRPr="002533ED">
        <w:rPr>
          <w:rFonts w:asciiTheme="minorHAnsi" w:hAnsiTheme="minorHAnsi" w:cstheme="minorHAnsi"/>
          <w:sz w:val="21"/>
          <w:szCs w:val="21"/>
        </w:rPr>
        <w:t>compliance with the organic production and labeling rules.</w:t>
      </w:r>
      <w:r w:rsidR="006F2DC5" w:rsidRPr="002533ED">
        <w:rPr>
          <w:rFonts w:asciiTheme="minorHAnsi" w:hAnsiTheme="minorHAnsi" w:cstheme="minorHAnsi"/>
          <w:sz w:val="21"/>
          <w:szCs w:val="21"/>
        </w:rPr>
        <w:t xml:space="preserve"> </w:t>
      </w:r>
      <w:r w:rsidR="00B64949" w:rsidRPr="002533ED">
        <w:rPr>
          <w:rFonts w:asciiTheme="minorHAnsi" w:hAnsiTheme="minorHAnsi" w:cstheme="minorHAnsi"/>
          <w:sz w:val="21"/>
          <w:szCs w:val="21"/>
        </w:rPr>
        <w:t>Operations may be subject to additional controls at the discretion of the certification body or European Commission</w:t>
      </w:r>
      <w:r w:rsidR="002F3ED9" w:rsidRPr="002533ED">
        <w:rPr>
          <w:rFonts w:asciiTheme="minorHAnsi" w:hAnsiTheme="minorHAnsi" w:cstheme="minorHAnsi"/>
          <w:sz w:val="21"/>
          <w:szCs w:val="21"/>
        </w:rPr>
        <w:t xml:space="preserve">, including </w:t>
      </w:r>
      <w:r w:rsidR="00B64949" w:rsidRPr="002533ED">
        <w:rPr>
          <w:rFonts w:asciiTheme="minorHAnsi" w:hAnsiTheme="minorHAnsi" w:cstheme="minorHAnsi"/>
          <w:sz w:val="21"/>
          <w:szCs w:val="21"/>
        </w:rPr>
        <w:t>unannounced inspections</w:t>
      </w:r>
      <w:r w:rsidR="000B683A" w:rsidRPr="002533ED">
        <w:rPr>
          <w:rFonts w:asciiTheme="minorHAnsi" w:hAnsiTheme="minorHAnsi" w:cstheme="minorHAnsi"/>
          <w:sz w:val="21"/>
          <w:szCs w:val="21"/>
        </w:rPr>
        <w:t xml:space="preserve"> and/or </w:t>
      </w:r>
      <w:r w:rsidR="000B683A" w:rsidRPr="0032479E">
        <w:rPr>
          <w:rFonts w:asciiTheme="minorHAnsi" w:hAnsiTheme="minorHAnsi" w:cstheme="minorHAnsi"/>
          <w:sz w:val="21"/>
          <w:szCs w:val="21"/>
        </w:rPr>
        <w:t>sampling.</w:t>
      </w:r>
    </w:p>
    <w:p w14:paraId="1578C56F" w14:textId="1746556F" w:rsidR="002533ED" w:rsidRDefault="002533ED">
      <w:pPr>
        <w:rPr>
          <w:rFonts w:asciiTheme="minorHAnsi" w:hAnsiTheme="minorHAnsi" w:cstheme="minorHAnsi"/>
          <w:sz w:val="22"/>
          <w:szCs w:val="22"/>
        </w:rPr>
      </w:pPr>
      <w:r>
        <w:rPr>
          <w:rFonts w:asciiTheme="minorHAnsi" w:hAnsiTheme="minorHAnsi" w:cstheme="minorHAnsi"/>
          <w:sz w:val="22"/>
          <w:szCs w:val="22"/>
        </w:rPr>
        <w:br w:type="page"/>
      </w:r>
    </w:p>
    <w:p w14:paraId="5BB86E87" w14:textId="478A154F" w:rsidR="002872E0" w:rsidRPr="002533ED" w:rsidRDefault="00331B7B" w:rsidP="00594796">
      <w:pPr>
        <w:jc w:val="both"/>
        <w:rPr>
          <w:rFonts w:asciiTheme="minorHAnsi" w:hAnsiTheme="minorHAnsi" w:cstheme="minorHAnsi"/>
          <w:b/>
          <w:sz w:val="20"/>
          <w:szCs w:val="20"/>
        </w:rPr>
      </w:pPr>
      <w:r w:rsidRPr="002533ED">
        <w:rPr>
          <w:rFonts w:asciiTheme="minorHAnsi" w:hAnsiTheme="minorHAnsi" w:cstheme="minorHAnsi"/>
          <w:b/>
          <w:sz w:val="20"/>
          <w:szCs w:val="20"/>
        </w:rPr>
        <w:lastRenderedPageBreak/>
        <w:t>This document is a general summary of the</w:t>
      </w:r>
      <w:r w:rsidR="00D2163E" w:rsidRPr="002533ED">
        <w:rPr>
          <w:rFonts w:asciiTheme="minorHAnsi" w:hAnsiTheme="minorHAnsi" w:cstheme="minorHAnsi"/>
          <w:b/>
          <w:sz w:val="20"/>
          <w:szCs w:val="20"/>
        </w:rPr>
        <w:t xml:space="preserve"> EU </w:t>
      </w:r>
      <w:r w:rsidR="00B81655" w:rsidRPr="002533ED">
        <w:rPr>
          <w:rFonts w:asciiTheme="minorHAnsi" w:hAnsiTheme="minorHAnsi" w:cstheme="minorHAnsi"/>
          <w:b/>
          <w:sz w:val="20"/>
          <w:szCs w:val="20"/>
        </w:rPr>
        <w:t>organic production and labeling rules</w:t>
      </w:r>
      <w:r w:rsidRPr="002533ED">
        <w:rPr>
          <w:rFonts w:asciiTheme="minorHAnsi" w:hAnsiTheme="minorHAnsi" w:cstheme="minorHAnsi"/>
          <w:b/>
          <w:sz w:val="20"/>
          <w:szCs w:val="20"/>
        </w:rPr>
        <w:t xml:space="preserve">. It is not intended as a substitute for a complete reading and understanding of the </w:t>
      </w:r>
      <w:r w:rsidR="00022E5A" w:rsidRPr="002533ED">
        <w:rPr>
          <w:rFonts w:asciiTheme="minorHAnsi" w:hAnsiTheme="minorHAnsi" w:cstheme="minorHAnsi"/>
          <w:b/>
          <w:sz w:val="20"/>
          <w:szCs w:val="20"/>
        </w:rPr>
        <w:t>regulations</w:t>
      </w:r>
      <w:r w:rsidRPr="002533ED">
        <w:rPr>
          <w:rFonts w:asciiTheme="minorHAnsi" w:hAnsiTheme="minorHAnsi" w:cstheme="minorHAnsi"/>
          <w:b/>
          <w:sz w:val="20"/>
          <w:szCs w:val="20"/>
        </w:rPr>
        <w:t>.</w:t>
      </w:r>
      <w:r w:rsidR="006F2DC5" w:rsidRPr="002533ED">
        <w:rPr>
          <w:rFonts w:asciiTheme="minorHAnsi" w:hAnsiTheme="minorHAnsi" w:cstheme="minorHAnsi"/>
          <w:b/>
          <w:sz w:val="20"/>
          <w:szCs w:val="20"/>
        </w:rPr>
        <w:t xml:space="preserve"> </w:t>
      </w:r>
      <w:r w:rsidR="005E2C05" w:rsidRPr="002533ED">
        <w:rPr>
          <w:rFonts w:asciiTheme="minorHAnsi" w:hAnsiTheme="minorHAnsi" w:cstheme="minorHAnsi"/>
          <w:b/>
          <w:sz w:val="20"/>
          <w:szCs w:val="20"/>
        </w:rPr>
        <w:t xml:space="preserve">QCS is recognized by the European Union in Regulation (EU) 2021/2325 and pursuant to Regulation (EU) 2018/848 as a control body for the purpose of importing organic products into the Union. </w:t>
      </w:r>
      <w:r w:rsidR="00FA1349" w:rsidRPr="002533ED">
        <w:rPr>
          <w:rFonts w:asciiTheme="minorHAnsi" w:hAnsiTheme="minorHAnsi" w:cstheme="minorHAnsi"/>
          <w:b/>
          <w:sz w:val="20"/>
          <w:szCs w:val="20"/>
        </w:rPr>
        <w:t xml:space="preserve">Certification services by </w:t>
      </w:r>
      <w:r w:rsidRPr="002533ED">
        <w:rPr>
          <w:rFonts w:asciiTheme="minorHAnsi" w:hAnsiTheme="minorHAnsi" w:cstheme="minorHAnsi"/>
          <w:b/>
          <w:sz w:val="20"/>
          <w:szCs w:val="20"/>
        </w:rPr>
        <w:t>QCS</w:t>
      </w:r>
      <w:r w:rsidR="00FA1349" w:rsidRPr="002533ED">
        <w:rPr>
          <w:rFonts w:asciiTheme="minorHAnsi" w:hAnsiTheme="minorHAnsi" w:cstheme="minorHAnsi"/>
          <w:b/>
          <w:sz w:val="20"/>
          <w:szCs w:val="20"/>
        </w:rPr>
        <w:t xml:space="preserve"> are limited to evaluation of</w:t>
      </w:r>
      <w:r w:rsidR="00882258" w:rsidRPr="002533ED">
        <w:rPr>
          <w:rFonts w:asciiTheme="minorHAnsi" w:hAnsiTheme="minorHAnsi" w:cstheme="minorHAnsi"/>
          <w:b/>
          <w:sz w:val="20"/>
          <w:szCs w:val="20"/>
        </w:rPr>
        <w:t xml:space="preserve"> </w:t>
      </w:r>
      <w:r w:rsidR="005E2C05" w:rsidRPr="002533ED">
        <w:rPr>
          <w:rFonts w:asciiTheme="minorHAnsi" w:hAnsiTheme="minorHAnsi" w:cstheme="minorHAnsi"/>
          <w:b/>
          <w:sz w:val="20"/>
          <w:szCs w:val="20"/>
        </w:rPr>
        <w:t>compliance with</w:t>
      </w:r>
      <w:r w:rsidRPr="002533ED">
        <w:rPr>
          <w:rFonts w:asciiTheme="minorHAnsi" w:hAnsiTheme="minorHAnsi" w:cstheme="minorHAnsi"/>
          <w:b/>
          <w:sz w:val="20"/>
          <w:szCs w:val="20"/>
        </w:rPr>
        <w:t xml:space="preserve"> </w:t>
      </w:r>
      <w:r w:rsidR="00FA1349" w:rsidRPr="002533ED">
        <w:rPr>
          <w:rFonts w:asciiTheme="minorHAnsi" w:hAnsiTheme="minorHAnsi" w:cstheme="minorHAnsi"/>
          <w:b/>
          <w:sz w:val="20"/>
          <w:szCs w:val="20"/>
        </w:rPr>
        <w:t>organic</w:t>
      </w:r>
      <w:r w:rsidR="005E2C05" w:rsidRPr="002533ED">
        <w:rPr>
          <w:rFonts w:asciiTheme="minorHAnsi" w:hAnsiTheme="minorHAnsi" w:cstheme="minorHAnsi"/>
          <w:b/>
          <w:sz w:val="20"/>
          <w:szCs w:val="20"/>
        </w:rPr>
        <w:t xml:space="preserve"> </w:t>
      </w:r>
      <w:r w:rsidR="000D0A54" w:rsidRPr="002533ED">
        <w:rPr>
          <w:rFonts w:asciiTheme="minorHAnsi" w:hAnsiTheme="minorHAnsi" w:cstheme="minorHAnsi"/>
          <w:b/>
          <w:sz w:val="20"/>
          <w:szCs w:val="20"/>
        </w:rPr>
        <w:t>regulations and provision of technical assistance</w:t>
      </w:r>
      <w:r w:rsidR="002D0BFE" w:rsidRPr="002533ED">
        <w:rPr>
          <w:rFonts w:asciiTheme="minorHAnsi" w:hAnsiTheme="minorHAnsi" w:cstheme="minorHAnsi"/>
          <w:b/>
          <w:sz w:val="20"/>
          <w:szCs w:val="20"/>
        </w:rPr>
        <w:t xml:space="preserve"> in the form of general information</w:t>
      </w:r>
      <w:r w:rsidR="005B7A44" w:rsidRPr="002533ED">
        <w:rPr>
          <w:rFonts w:asciiTheme="minorHAnsi" w:hAnsiTheme="minorHAnsi" w:cstheme="minorHAnsi"/>
          <w:b/>
          <w:sz w:val="20"/>
          <w:szCs w:val="20"/>
        </w:rPr>
        <w:t xml:space="preserve"> like this document</w:t>
      </w:r>
      <w:r w:rsidR="005E2C05" w:rsidRPr="002533ED">
        <w:rPr>
          <w:rFonts w:asciiTheme="minorHAnsi" w:hAnsiTheme="minorHAnsi" w:cstheme="minorHAnsi"/>
          <w:b/>
          <w:sz w:val="20"/>
          <w:szCs w:val="20"/>
        </w:rPr>
        <w:t>.</w:t>
      </w:r>
      <w:r w:rsidR="006F2DC5" w:rsidRPr="002533ED">
        <w:rPr>
          <w:rFonts w:asciiTheme="minorHAnsi" w:hAnsiTheme="minorHAnsi" w:cstheme="minorHAnsi"/>
          <w:b/>
          <w:sz w:val="20"/>
          <w:szCs w:val="20"/>
        </w:rPr>
        <w:t xml:space="preserve"> </w:t>
      </w:r>
      <w:r w:rsidR="005B7A44" w:rsidRPr="002533ED">
        <w:rPr>
          <w:rFonts w:asciiTheme="minorHAnsi" w:hAnsiTheme="minorHAnsi" w:cstheme="minorHAnsi"/>
          <w:b/>
          <w:sz w:val="20"/>
          <w:szCs w:val="20"/>
        </w:rPr>
        <w:t xml:space="preserve">QCS does not provide consultation services. </w:t>
      </w:r>
    </w:p>
    <w:sectPr w:rsidR="002872E0" w:rsidRPr="002533ED" w:rsidSect="003316AE">
      <w:headerReference w:type="default" r:id="rId14"/>
      <w:footerReference w:type="default" r:id="rId1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3F04" w14:textId="77777777" w:rsidR="00DE37C9" w:rsidRDefault="00DE37C9" w:rsidP="003E4D91">
      <w:r>
        <w:separator/>
      </w:r>
    </w:p>
  </w:endnote>
  <w:endnote w:type="continuationSeparator" w:id="0">
    <w:p w14:paraId="359D7D8C" w14:textId="77777777" w:rsidR="00DE37C9" w:rsidRDefault="00DE37C9" w:rsidP="003E4D91">
      <w:r>
        <w:continuationSeparator/>
      </w:r>
    </w:p>
  </w:endnote>
  <w:endnote w:type="continuationNotice" w:id="1">
    <w:p w14:paraId="1947B6D4" w14:textId="77777777" w:rsidR="00DE37C9" w:rsidRDefault="00DE3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8D85" w14:textId="6BF68A68" w:rsidR="003E4D91" w:rsidRPr="003316AE" w:rsidRDefault="003316AE" w:rsidP="003316AE">
    <w:pPr>
      <w:pStyle w:val="Footer"/>
      <w:tabs>
        <w:tab w:val="clear" w:pos="4680"/>
        <w:tab w:val="clear" w:pos="9360"/>
      </w:tabs>
      <w:jc w:val="center"/>
      <w:rPr>
        <w:rFonts w:ascii="Garamond" w:hAnsi="Garamond" w:cs="Tahoma"/>
        <w:sz w:val="20"/>
        <w:szCs w:val="20"/>
      </w:rPr>
    </w:pPr>
    <w:r>
      <w:rPr>
        <w:rFonts w:ascii="Garamond" w:hAnsi="Garamond" w:cs="Tahoma"/>
        <w:sz w:val="20"/>
        <w:szCs w:val="20"/>
      </w:rPr>
      <w:t xml:space="preserve">1C3B30, V1, 08/15/2023 </w:t>
    </w:r>
    <w:r>
      <w:rPr>
        <w:rFonts w:ascii="Garamond" w:hAnsi="Garamond" w:cs="Tahoma"/>
        <w:sz w:val="20"/>
        <w:szCs w:val="20"/>
      </w:rPr>
      <w:tab/>
    </w:r>
    <w:r>
      <w:rPr>
        <w:rFonts w:ascii="Garamond" w:hAnsi="Garamond" w:cs="Tahoma"/>
        <w:sz w:val="20"/>
        <w:szCs w:val="20"/>
      </w:rPr>
      <w:tab/>
    </w:r>
    <w:r>
      <w:rPr>
        <w:rFonts w:ascii="Garamond" w:hAnsi="Garamond" w:cs="Tahoma"/>
        <w:sz w:val="20"/>
        <w:szCs w:val="20"/>
      </w:rPr>
      <w:tab/>
    </w:r>
    <w:r>
      <w:rPr>
        <w:rFonts w:ascii="Garamond" w:hAnsi="Garamond" w:cs="Tahoma"/>
        <w:sz w:val="20"/>
        <w:szCs w:val="20"/>
      </w:rPr>
      <w:tab/>
    </w:r>
    <w:r>
      <w:rPr>
        <w:rFonts w:ascii="Garamond" w:hAnsi="Garamond" w:cs="Tahoma"/>
        <w:sz w:val="20"/>
        <w:szCs w:val="20"/>
      </w:rPr>
      <w:tab/>
    </w:r>
    <w:r>
      <w:rPr>
        <w:rFonts w:ascii="Garamond" w:hAnsi="Garamond" w:cs="Tahoma"/>
        <w:sz w:val="20"/>
        <w:szCs w:val="20"/>
      </w:rPr>
      <w:tab/>
    </w:r>
    <w:r>
      <w:rPr>
        <w:rFonts w:ascii="Garamond" w:hAnsi="Garamond" w:cs="Tahoma"/>
        <w:sz w:val="20"/>
        <w:szCs w:val="20"/>
      </w:rPr>
      <w:tab/>
    </w:r>
    <w:r w:rsidR="003E4D91" w:rsidRPr="003316AE">
      <w:rPr>
        <w:rFonts w:ascii="Garamond" w:hAnsi="Garamond" w:cs="Tahoma"/>
        <w:sz w:val="20"/>
        <w:szCs w:val="20"/>
      </w:rPr>
      <w:tab/>
    </w:r>
    <w:r w:rsidR="003E4D91" w:rsidRPr="003316AE">
      <w:rPr>
        <w:rFonts w:ascii="Garamond" w:hAnsi="Garamond" w:cs="Tahoma"/>
        <w:sz w:val="20"/>
        <w:szCs w:val="20"/>
      </w:rPr>
      <w:tab/>
      <w:t xml:space="preserve">Page </w:t>
    </w:r>
    <w:r w:rsidR="003E4D91" w:rsidRPr="003316AE">
      <w:rPr>
        <w:rFonts w:ascii="Garamond" w:hAnsi="Garamond" w:cs="Tahoma"/>
        <w:sz w:val="20"/>
        <w:szCs w:val="20"/>
      </w:rPr>
      <w:fldChar w:fldCharType="begin"/>
    </w:r>
    <w:r w:rsidR="003E4D91" w:rsidRPr="003316AE">
      <w:rPr>
        <w:rFonts w:ascii="Garamond" w:hAnsi="Garamond" w:cs="Tahoma"/>
        <w:sz w:val="20"/>
        <w:szCs w:val="20"/>
      </w:rPr>
      <w:instrText xml:space="preserve"> PAGE </w:instrText>
    </w:r>
    <w:r w:rsidR="003E4D91" w:rsidRPr="003316AE">
      <w:rPr>
        <w:rFonts w:ascii="Garamond" w:hAnsi="Garamond" w:cs="Tahoma"/>
        <w:sz w:val="20"/>
        <w:szCs w:val="20"/>
      </w:rPr>
      <w:fldChar w:fldCharType="separate"/>
    </w:r>
    <w:r w:rsidR="008D4351" w:rsidRPr="003316AE">
      <w:rPr>
        <w:rFonts w:ascii="Garamond" w:hAnsi="Garamond" w:cs="Tahoma"/>
        <w:noProof/>
        <w:sz w:val="20"/>
        <w:szCs w:val="20"/>
      </w:rPr>
      <w:t>1</w:t>
    </w:r>
    <w:r w:rsidR="003E4D91" w:rsidRPr="003316AE">
      <w:rPr>
        <w:rFonts w:ascii="Garamond" w:hAnsi="Garamond" w:cs="Tahoma"/>
        <w:sz w:val="20"/>
        <w:szCs w:val="20"/>
      </w:rPr>
      <w:fldChar w:fldCharType="end"/>
    </w:r>
    <w:r w:rsidR="003E4D91" w:rsidRPr="003316AE">
      <w:rPr>
        <w:rFonts w:ascii="Garamond" w:hAnsi="Garamond" w:cs="Tahoma"/>
        <w:sz w:val="20"/>
        <w:szCs w:val="20"/>
      </w:rPr>
      <w:t xml:space="preserve"> of </w:t>
    </w:r>
    <w:r w:rsidR="003E4D91" w:rsidRPr="003316AE">
      <w:rPr>
        <w:rFonts w:ascii="Garamond" w:hAnsi="Garamond" w:cs="Tahoma"/>
        <w:sz w:val="20"/>
        <w:szCs w:val="20"/>
      </w:rPr>
      <w:fldChar w:fldCharType="begin"/>
    </w:r>
    <w:r w:rsidR="003E4D91" w:rsidRPr="003316AE">
      <w:rPr>
        <w:rFonts w:ascii="Garamond" w:hAnsi="Garamond" w:cs="Tahoma"/>
        <w:sz w:val="20"/>
        <w:szCs w:val="20"/>
      </w:rPr>
      <w:instrText xml:space="preserve"> NUMPAGES </w:instrText>
    </w:r>
    <w:r w:rsidR="003E4D91" w:rsidRPr="003316AE">
      <w:rPr>
        <w:rFonts w:ascii="Garamond" w:hAnsi="Garamond" w:cs="Tahoma"/>
        <w:sz w:val="20"/>
        <w:szCs w:val="20"/>
      </w:rPr>
      <w:fldChar w:fldCharType="separate"/>
    </w:r>
    <w:r w:rsidR="008D4351" w:rsidRPr="003316AE">
      <w:rPr>
        <w:rFonts w:ascii="Garamond" w:hAnsi="Garamond" w:cs="Tahoma"/>
        <w:noProof/>
        <w:sz w:val="20"/>
        <w:szCs w:val="20"/>
      </w:rPr>
      <w:t>2</w:t>
    </w:r>
    <w:r w:rsidR="003E4D91" w:rsidRPr="003316AE">
      <w:rPr>
        <w:rFonts w:ascii="Garamond" w:hAnsi="Garamond"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5203" w14:textId="77777777" w:rsidR="00DE37C9" w:rsidRDefault="00DE37C9" w:rsidP="003E4D91">
      <w:r>
        <w:separator/>
      </w:r>
    </w:p>
  </w:footnote>
  <w:footnote w:type="continuationSeparator" w:id="0">
    <w:p w14:paraId="42466688" w14:textId="77777777" w:rsidR="00DE37C9" w:rsidRDefault="00DE37C9" w:rsidP="003E4D91">
      <w:r>
        <w:continuationSeparator/>
      </w:r>
    </w:p>
  </w:footnote>
  <w:footnote w:type="continuationNotice" w:id="1">
    <w:p w14:paraId="02399F28" w14:textId="77777777" w:rsidR="00DE37C9" w:rsidRDefault="00DE3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CB3C" w14:textId="67FF7E07" w:rsidR="001F0967" w:rsidRPr="001329AB" w:rsidRDefault="007F5BBE" w:rsidP="001F0967">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057A982E" wp14:editId="0C545BD6">
          <wp:simplePos x="0" y="0"/>
          <wp:positionH relativeFrom="page">
            <wp:posOffset>457200</wp:posOffset>
          </wp:positionH>
          <wp:positionV relativeFrom="page">
            <wp:posOffset>274320</wp:posOffset>
          </wp:positionV>
          <wp:extent cx="1975104" cy="804672"/>
          <wp:effectExtent l="0" t="0" r="6350" b="0"/>
          <wp:wrapSquare wrapText="bothSides"/>
          <wp:docPr id="867228891" name="Picture 867228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pic:spPr>
              </pic:pic>
            </a:graphicData>
          </a:graphic>
          <wp14:sizeRelH relativeFrom="page">
            <wp14:pctWidth>0</wp14:pctWidth>
          </wp14:sizeRelH>
          <wp14:sizeRelV relativeFrom="page">
            <wp14:pctHeight>0</wp14:pctHeight>
          </wp14:sizeRelV>
        </wp:anchor>
      </w:drawing>
    </w:r>
    <w:r w:rsidR="001F0967" w:rsidRPr="001329AB">
      <w:rPr>
        <w:rFonts w:ascii="Calibri Light" w:hAnsi="Calibri Light" w:cs="Calibri Light"/>
        <w:b/>
        <w:sz w:val="32"/>
      </w:rPr>
      <w:t>Quality Certification Services (QCS)</w:t>
    </w:r>
  </w:p>
  <w:p w14:paraId="2BDA8BFF" w14:textId="77777777" w:rsidR="001F0967" w:rsidRPr="00202079" w:rsidRDefault="001F0967" w:rsidP="001F0967">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7A398F3F" w14:textId="77777777" w:rsidR="001F0967" w:rsidRPr="00202079" w:rsidRDefault="001F0967" w:rsidP="001F0967">
    <w:pPr>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0D396D62" w14:textId="77777777" w:rsidR="001F0967" w:rsidRPr="00202079" w:rsidRDefault="001F0967" w:rsidP="001F0967">
    <w:pPr>
      <w:jc w:val="right"/>
      <w:rPr>
        <w:rFonts w:ascii="Calibri Light" w:hAnsi="Calibri Light" w:cs="Calibri Light"/>
        <w:sz w:val="22"/>
        <w:szCs w:val="22"/>
      </w:rPr>
    </w:pPr>
    <w:r w:rsidRPr="00202079">
      <w:rPr>
        <w:rFonts w:ascii="Calibri Light" w:hAnsi="Calibri Light" w:cs="Calibri Light"/>
        <w:sz w:val="22"/>
        <w:szCs w:val="22"/>
      </w:rPr>
      <w:t>www.qcsinfo.org</w:t>
    </w:r>
  </w:p>
  <w:p w14:paraId="6F260810" w14:textId="77777777" w:rsidR="005950FC" w:rsidRDefault="005950F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52AE"/>
    <w:multiLevelType w:val="multilevel"/>
    <w:tmpl w:val="6D0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KJvNztPE/OxEDjeCjiwexhq7nYmhjSj32TS+rGhs2NLfaVs57kypHrFULM0AR7PYJ+67t8NtQfAqBlca/UtUiQ==" w:salt="j98w8MvYeeo4SZSZNssbn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0"/>
    <w:rsid w:val="000023F1"/>
    <w:rsid w:val="00013950"/>
    <w:rsid w:val="00020852"/>
    <w:rsid w:val="00021606"/>
    <w:rsid w:val="00022E5A"/>
    <w:rsid w:val="00037F84"/>
    <w:rsid w:val="00040222"/>
    <w:rsid w:val="00044613"/>
    <w:rsid w:val="00084FC6"/>
    <w:rsid w:val="00090408"/>
    <w:rsid w:val="000A5468"/>
    <w:rsid w:val="000B683A"/>
    <w:rsid w:val="000C534A"/>
    <w:rsid w:val="000C57A4"/>
    <w:rsid w:val="000D0A54"/>
    <w:rsid w:val="001024C5"/>
    <w:rsid w:val="00103DCB"/>
    <w:rsid w:val="00107F4D"/>
    <w:rsid w:val="00116315"/>
    <w:rsid w:val="0011775C"/>
    <w:rsid w:val="00124734"/>
    <w:rsid w:val="00154519"/>
    <w:rsid w:val="00156F39"/>
    <w:rsid w:val="0016592C"/>
    <w:rsid w:val="0017204F"/>
    <w:rsid w:val="001B119D"/>
    <w:rsid w:val="001B37B0"/>
    <w:rsid w:val="001B4BFC"/>
    <w:rsid w:val="001B5B24"/>
    <w:rsid w:val="001D2C55"/>
    <w:rsid w:val="001D4F73"/>
    <w:rsid w:val="001D512E"/>
    <w:rsid w:val="001E5EF3"/>
    <w:rsid w:val="001E7552"/>
    <w:rsid w:val="001F0967"/>
    <w:rsid w:val="001F2DA8"/>
    <w:rsid w:val="001F6A9E"/>
    <w:rsid w:val="00203624"/>
    <w:rsid w:val="00215937"/>
    <w:rsid w:val="00215C8A"/>
    <w:rsid w:val="002343D3"/>
    <w:rsid w:val="00240DDE"/>
    <w:rsid w:val="00243CDE"/>
    <w:rsid w:val="002533ED"/>
    <w:rsid w:val="00254B0A"/>
    <w:rsid w:val="00274981"/>
    <w:rsid w:val="00282A79"/>
    <w:rsid w:val="00286856"/>
    <w:rsid w:val="002872E0"/>
    <w:rsid w:val="00291D26"/>
    <w:rsid w:val="002920F5"/>
    <w:rsid w:val="002B4C22"/>
    <w:rsid w:val="002B5F25"/>
    <w:rsid w:val="002B79AF"/>
    <w:rsid w:val="002C6688"/>
    <w:rsid w:val="002C67CB"/>
    <w:rsid w:val="002D0BFE"/>
    <w:rsid w:val="002D3773"/>
    <w:rsid w:val="002F35B6"/>
    <w:rsid w:val="002F3ED9"/>
    <w:rsid w:val="0032479E"/>
    <w:rsid w:val="003316AE"/>
    <w:rsid w:val="00331B7B"/>
    <w:rsid w:val="003378A5"/>
    <w:rsid w:val="00341D3E"/>
    <w:rsid w:val="00347B0D"/>
    <w:rsid w:val="003565D0"/>
    <w:rsid w:val="00366D7E"/>
    <w:rsid w:val="00380542"/>
    <w:rsid w:val="0038169C"/>
    <w:rsid w:val="00390463"/>
    <w:rsid w:val="00393798"/>
    <w:rsid w:val="00394306"/>
    <w:rsid w:val="003A3381"/>
    <w:rsid w:val="003A5440"/>
    <w:rsid w:val="003B0334"/>
    <w:rsid w:val="003B3B52"/>
    <w:rsid w:val="003B5EC0"/>
    <w:rsid w:val="003B61B5"/>
    <w:rsid w:val="003D0E14"/>
    <w:rsid w:val="003D15A0"/>
    <w:rsid w:val="003E2874"/>
    <w:rsid w:val="003E4D91"/>
    <w:rsid w:val="003F00B7"/>
    <w:rsid w:val="004055E8"/>
    <w:rsid w:val="00413223"/>
    <w:rsid w:val="00451FE7"/>
    <w:rsid w:val="0045543B"/>
    <w:rsid w:val="0046663D"/>
    <w:rsid w:val="00467203"/>
    <w:rsid w:val="004764EE"/>
    <w:rsid w:val="004869AC"/>
    <w:rsid w:val="00487225"/>
    <w:rsid w:val="004A4AA7"/>
    <w:rsid w:val="004A5473"/>
    <w:rsid w:val="004B0117"/>
    <w:rsid w:val="004B43A9"/>
    <w:rsid w:val="004C251D"/>
    <w:rsid w:val="004D02D6"/>
    <w:rsid w:val="004D25D2"/>
    <w:rsid w:val="004E43AC"/>
    <w:rsid w:val="004F18A5"/>
    <w:rsid w:val="004F538D"/>
    <w:rsid w:val="005047EB"/>
    <w:rsid w:val="00513E9B"/>
    <w:rsid w:val="00513F90"/>
    <w:rsid w:val="0051476B"/>
    <w:rsid w:val="005400C1"/>
    <w:rsid w:val="005401E3"/>
    <w:rsid w:val="00543B08"/>
    <w:rsid w:val="00544259"/>
    <w:rsid w:val="00553DCB"/>
    <w:rsid w:val="0056793F"/>
    <w:rsid w:val="0059069E"/>
    <w:rsid w:val="00592186"/>
    <w:rsid w:val="005923A9"/>
    <w:rsid w:val="00594796"/>
    <w:rsid w:val="005950FC"/>
    <w:rsid w:val="0059648E"/>
    <w:rsid w:val="0059765C"/>
    <w:rsid w:val="005A68A3"/>
    <w:rsid w:val="005B50CB"/>
    <w:rsid w:val="005B6B6A"/>
    <w:rsid w:val="005B7A44"/>
    <w:rsid w:val="005C70DA"/>
    <w:rsid w:val="005E2C05"/>
    <w:rsid w:val="005F4F35"/>
    <w:rsid w:val="005F5ECF"/>
    <w:rsid w:val="006036F9"/>
    <w:rsid w:val="00617187"/>
    <w:rsid w:val="00620B27"/>
    <w:rsid w:val="00623014"/>
    <w:rsid w:val="006257D1"/>
    <w:rsid w:val="00631AE7"/>
    <w:rsid w:val="0065447E"/>
    <w:rsid w:val="006553B8"/>
    <w:rsid w:val="00655913"/>
    <w:rsid w:val="00664CD2"/>
    <w:rsid w:val="00677063"/>
    <w:rsid w:val="006A2FC2"/>
    <w:rsid w:val="006A5115"/>
    <w:rsid w:val="006C22CF"/>
    <w:rsid w:val="006C3214"/>
    <w:rsid w:val="006D1BB0"/>
    <w:rsid w:val="006D3202"/>
    <w:rsid w:val="006D7C4E"/>
    <w:rsid w:val="006E3E45"/>
    <w:rsid w:val="006F2D5A"/>
    <w:rsid w:val="006F2DC5"/>
    <w:rsid w:val="006F3C7C"/>
    <w:rsid w:val="00707271"/>
    <w:rsid w:val="007276DA"/>
    <w:rsid w:val="00734BE9"/>
    <w:rsid w:val="00741B67"/>
    <w:rsid w:val="00743FA1"/>
    <w:rsid w:val="00757D44"/>
    <w:rsid w:val="00764E72"/>
    <w:rsid w:val="00774EE6"/>
    <w:rsid w:val="007837F4"/>
    <w:rsid w:val="00783B3F"/>
    <w:rsid w:val="00790BD0"/>
    <w:rsid w:val="00797A2A"/>
    <w:rsid w:val="007A5F21"/>
    <w:rsid w:val="007A644F"/>
    <w:rsid w:val="007B16C5"/>
    <w:rsid w:val="007B2219"/>
    <w:rsid w:val="007B5AF4"/>
    <w:rsid w:val="007B7AB3"/>
    <w:rsid w:val="007C29E7"/>
    <w:rsid w:val="007D1172"/>
    <w:rsid w:val="007F5BBE"/>
    <w:rsid w:val="007F654A"/>
    <w:rsid w:val="00802B21"/>
    <w:rsid w:val="00803635"/>
    <w:rsid w:val="0081442A"/>
    <w:rsid w:val="008231E7"/>
    <w:rsid w:val="00830C9C"/>
    <w:rsid w:val="0083603A"/>
    <w:rsid w:val="0084140F"/>
    <w:rsid w:val="00882258"/>
    <w:rsid w:val="00887DFE"/>
    <w:rsid w:val="008956B6"/>
    <w:rsid w:val="008A0FBC"/>
    <w:rsid w:val="008A2728"/>
    <w:rsid w:val="008C33EA"/>
    <w:rsid w:val="008D2C21"/>
    <w:rsid w:val="008D4351"/>
    <w:rsid w:val="008E2FDB"/>
    <w:rsid w:val="009011CA"/>
    <w:rsid w:val="009118CD"/>
    <w:rsid w:val="009139FD"/>
    <w:rsid w:val="009140A9"/>
    <w:rsid w:val="00921779"/>
    <w:rsid w:val="00926908"/>
    <w:rsid w:val="00933594"/>
    <w:rsid w:val="009424C3"/>
    <w:rsid w:val="00960E80"/>
    <w:rsid w:val="00961DFB"/>
    <w:rsid w:val="009652DA"/>
    <w:rsid w:val="00971EC3"/>
    <w:rsid w:val="009808A6"/>
    <w:rsid w:val="009814B5"/>
    <w:rsid w:val="00983C00"/>
    <w:rsid w:val="0099387F"/>
    <w:rsid w:val="009938DB"/>
    <w:rsid w:val="009A28C6"/>
    <w:rsid w:val="009A3E2A"/>
    <w:rsid w:val="009B46DA"/>
    <w:rsid w:val="009B721C"/>
    <w:rsid w:val="009B76C8"/>
    <w:rsid w:val="009C213E"/>
    <w:rsid w:val="009C438F"/>
    <w:rsid w:val="009F0616"/>
    <w:rsid w:val="009F5473"/>
    <w:rsid w:val="009F75FF"/>
    <w:rsid w:val="00A00A5D"/>
    <w:rsid w:val="00A04A8D"/>
    <w:rsid w:val="00A1689A"/>
    <w:rsid w:val="00A336D0"/>
    <w:rsid w:val="00A462EA"/>
    <w:rsid w:val="00A5205F"/>
    <w:rsid w:val="00A53F2D"/>
    <w:rsid w:val="00A65DEE"/>
    <w:rsid w:val="00A661CC"/>
    <w:rsid w:val="00A6761D"/>
    <w:rsid w:val="00AD0B10"/>
    <w:rsid w:val="00AD319B"/>
    <w:rsid w:val="00AD4BF5"/>
    <w:rsid w:val="00AE047C"/>
    <w:rsid w:val="00B03EC5"/>
    <w:rsid w:val="00B0456E"/>
    <w:rsid w:val="00B04CE1"/>
    <w:rsid w:val="00B056CD"/>
    <w:rsid w:val="00B14A14"/>
    <w:rsid w:val="00B17258"/>
    <w:rsid w:val="00B21825"/>
    <w:rsid w:val="00B30A4A"/>
    <w:rsid w:val="00B3291F"/>
    <w:rsid w:val="00B37034"/>
    <w:rsid w:val="00B40F25"/>
    <w:rsid w:val="00B44B9B"/>
    <w:rsid w:val="00B54982"/>
    <w:rsid w:val="00B64949"/>
    <w:rsid w:val="00B663E7"/>
    <w:rsid w:val="00B71370"/>
    <w:rsid w:val="00B729F7"/>
    <w:rsid w:val="00B7729E"/>
    <w:rsid w:val="00B81051"/>
    <w:rsid w:val="00B81655"/>
    <w:rsid w:val="00B8218E"/>
    <w:rsid w:val="00B9310C"/>
    <w:rsid w:val="00BA02EC"/>
    <w:rsid w:val="00BA240D"/>
    <w:rsid w:val="00BB064E"/>
    <w:rsid w:val="00BB0C13"/>
    <w:rsid w:val="00BB525E"/>
    <w:rsid w:val="00BC793A"/>
    <w:rsid w:val="00BD2BC4"/>
    <w:rsid w:val="00BD6E6B"/>
    <w:rsid w:val="00BE4749"/>
    <w:rsid w:val="00BF63CE"/>
    <w:rsid w:val="00C033F1"/>
    <w:rsid w:val="00C071B5"/>
    <w:rsid w:val="00C321BC"/>
    <w:rsid w:val="00C4064B"/>
    <w:rsid w:val="00C46B49"/>
    <w:rsid w:val="00C71364"/>
    <w:rsid w:val="00C76231"/>
    <w:rsid w:val="00C80561"/>
    <w:rsid w:val="00C905ED"/>
    <w:rsid w:val="00C9676D"/>
    <w:rsid w:val="00CB2D74"/>
    <w:rsid w:val="00CC1F94"/>
    <w:rsid w:val="00CC284F"/>
    <w:rsid w:val="00CD1B46"/>
    <w:rsid w:val="00CE5878"/>
    <w:rsid w:val="00D03109"/>
    <w:rsid w:val="00D05CBE"/>
    <w:rsid w:val="00D07ED4"/>
    <w:rsid w:val="00D2163E"/>
    <w:rsid w:val="00D25E5D"/>
    <w:rsid w:val="00D30089"/>
    <w:rsid w:val="00D42A4C"/>
    <w:rsid w:val="00D5146E"/>
    <w:rsid w:val="00D519D9"/>
    <w:rsid w:val="00D52D34"/>
    <w:rsid w:val="00D53A3A"/>
    <w:rsid w:val="00D60D92"/>
    <w:rsid w:val="00D72D27"/>
    <w:rsid w:val="00D8063B"/>
    <w:rsid w:val="00D837EA"/>
    <w:rsid w:val="00D870FF"/>
    <w:rsid w:val="00D908E5"/>
    <w:rsid w:val="00DA2215"/>
    <w:rsid w:val="00DA2935"/>
    <w:rsid w:val="00DA37BB"/>
    <w:rsid w:val="00DB10FC"/>
    <w:rsid w:val="00DC2A02"/>
    <w:rsid w:val="00DC4FC4"/>
    <w:rsid w:val="00DD7A1E"/>
    <w:rsid w:val="00DE0B72"/>
    <w:rsid w:val="00DE155E"/>
    <w:rsid w:val="00DE37C9"/>
    <w:rsid w:val="00DF6B49"/>
    <w:rsid w:val="00E0073D"/>
    <w:rsid w:val="00E06C6D"/>
    <w:rsid w:val="00E16335"/>
    <w:rsid w:val="00E2668E"/>
    <w:rsid w:val="00E26BE7"/>
    <w:rsid w:val="00E274C3"/>
    <w:rsid w:val="00E366DA"/>
    <w:rsid w:val="00E43201"/>
    <w:rsid w:val="00E608C9"/>
    <w:rsid w:val="00E62381"/>
    <w:rsid w:val="00E638FD"/>
    <w:rsid w:val="00E7021A"/>
    <w:rsid w:val="00E94F17"/>
    <w:rsid w:val="00EA0782"/>
    <w:rsid w:val="00EA38B4"/>
    <w:rsid w:val="00EB70D6"/>
    <w:rsid w:val="00ED50FE"/>
    <w:rsid w:val="00F04873"/>
    <w:rsid w:val="00F24D40"/>
    <w:rsid w:val="00F32AE4"/>
    <w:rsid w:val="00F37890"/>
    <w:rsid w:val="00F512A9"/>
    <w:rsid w:val="00F719EB"/>
    <w:rsid w:val="00F72767"/>
    <w:rsid w:val="00F763CD"/>
    <w:rsid w:val="00F83155"/>
    <w:rsid w:val="00F952D0"/>
    <w:rsid w:val="00FA1349"/>
    <w:rsid w:val="00FB14F3"/>
    <w:rsid w:val="00FB4C4C"/>
    <w:rsid w:val="00FC546B"/>
    <w:rsid w:val="00FD11E9"/>
    <w:rsid w:val="00FE720F"/>
    <w:rsid w:val="00FF1590"/>
    <w:rsid w:val="520255DA"/>
    <w:rsid w:val="611B9B36"/>
    <w:rsid w:val="6A08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9D75"/>
  <w15:chartTrackingRefBased/>
  <w15:docId w15:val="{34EBD4CD-3EBF-41E0-91B7-6848D29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0"/>
    <w:rPr>
      <w:rFonts w:ascii="Times New Roman" w:eastAsia="Times New Roman" w:hAnsi="Times New Roman"/>
      <w:sz w:val="24"/>
      <w:szCs w:val="24"/>
    </w:rPr>
  </w:style>
  <w:style w:type="paragraph" w:styleId="Heading1">
    <w:name w:val="heading 1"/>
    <w:basedOn w:val="Normal"/>
    <w:next w:val="Normal"/>
    <w:link w:val="Heading1Char"/>
    <w:qFormat/>
    <w:rsid w:val="005950FC"/>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7B"/>
    <w:pPr>
      <w:ind w:left="720"/>
      <w:contextualSpacing/>
    </w:pPr>
  </w:style>
  <w:style w:type="paragraph" w:styleId="Header">
    <w:name w:val="header"/>
    <w:basedOn w:val="Normal"/>
    <w:link w:val="HeaderChar"/>
    <w:uiPriority w:val="99"/>
    <w:unhideWhenUsed/>
    <w:rsid w:val="003E4D91"/>
    <w:pPr>
      <w:tabs>
        <w:tab w:val="center" w:pos="4680"/>
        <w:tab w:val="right" w:pos="9360"/>
      </w:tabs>
    </w:pPr>
  </w:style>
  <w:style w:type="character" w:customStyle="1" w:styleId="HeaderChar">
    <w:name w:val="Header Char"/>
    <w:link w:val="Header"/>
    <w:uiPriority w:val="99"/>
    <w:rsid w:val="003E4D91"/>
    <w:rPr>
      <w:rFonts w:ascii="Times New Roman" w:eastAsia="Times New Roman" w:hAnsi="Times New Roman"/>
      <w:sz w:val="24"/>
      <w:szCs w:val="24"/>
    </w:rPr>
  </w:style>
  <w:style w:type="paragraph" w:styleId="Footer">
    <w:name w:val="footer"/>
    <w:basedOn w:val="Normal"/>
    <w:link w:val="FooterChar"/>
    <w:unhideWhenUsed/>
    <w:rsid w:val="003E4D91"/>
    <w:pPr>
      <w:tabs>
        <w:tab w:val="center" w:pos="4680"/>
        <w:tab w:val="right" w:pos="9360"/>
      </w:tabs>
    </w:pPr>
  </w:style>
  <w:style w:type="character" w:customStyle="1" w:styleId="FooterChar">
    <w:name w:val="Footer Char"/>
    <w:link w:val="Footer"/>
    <w:uiPriority w:val="99"/>
    <w:rsid w:val="003E4D9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4D91"/>
    <w:rPr>
      <w:rFonts w:ascii="Tahoma" w:hAnsi="Tahoma" w:cs="Tahoma"/>
      <w:sz w:val="16"/>
      <w:szCs w:val="16"/>
    </w:rPr>
  </w:style>
  <w:style w:type="character" w:customStyle="1" w:styleId="BalloonTextChar">
    <w:name w:val="Balloon Text Char"/>
    <w:link w:val="BalloonText"/>
    <w:uiPriority w:val="99"/>
    <w:semiHidden/>
    <w:rsid w:val="003E4D91"/>
    <w:rPr>
      <w:rFonts w:ascii="Tahoma" w:eastAsia="Times New Roman" w:hAnsi="Tahoma" w:cs="Tahoma"/>
      <w:sz w:val="16"/>
      <w:szCs w:val="16"/>
    </w:rPr>
  </w:style>
  <w:style w:type="character" w:customStyle="1" w:styleId="Heading1Char">
    <w:name w:val="Heading 1 Char"/>
    <w:link w:val="Heading1"/>
    <w:rsid w:val="005950FC"/>
    <w:rPr>
      <w:rFonts w:ascii="Tahoma" w:eastAsia="Times New Roman" w:hAnsi="Tahoma" w:cs="Tahoma"/>
      <w:sz w:val="24"/>
      <w:szCs w:val="24"/>
      <w:u w:val="single"/>
    </w:rPr>
  </w:style>
  <w:style w:type="paragraph" w:styleId="Revision">
    <w:name w:val="Revision"/>
    <w:hidden/>
    <w:uiPriority w:val="99"/>
    <w:semiHidden/>
    <w:rsid w:val="00594796"/>
    <w:rPr>
      <w:rFonts w:ascii="Times New Roman" w:eastAsia="Times New Roman" w:hAnsi="Times New Roman"/>
      <w:sz w:val="24"/>
      <w:szCs w:val="24"/>
    </w:rPr>
  </w:style>
  <w:style w:type="character" w:styleId="Hyperlink">
    <w:name w:val="Hyperlink"/>
    <w:uiPriority w:val="99"/>
    <w:unhideWhenUsed/>
    <w:rsid w:val="00040222"/>
    <w:rPr>
      <w:color w:val="0563C1"/>
      <w:u w:val="single"/>
    </w:rPr>
  </w:style>
  <w:style w:type="character" w:styleId="UnresolvedMention">
    <w:name w:val="Unresolved Mention"/>
    <w:uiPriority w:val="99"/>
    <w:semiHidden/>
    <w:unhideWhenUsed/>
    <w:rsid w:val="00040222"/>
    <w:rPr>
      <w:color w:val="605E5C"/>
      <w:shd w:val="clear" w:color="auto" w:fill="E1DFDD"/>
    </w:rPr>
  </w:style>
  <w:style w:type="paragraph" w:styleId="NormalWeb">
    <w:name w:val="Normal (Web)"/>
    <w:basedOn w:val="Normal"/>
    <w:uiPriority w:val="99"/>
    <w:semiHidden/>
    <w:unhideWhenUsed/>
    <w:rsid w:val="009A28C6"/>
  </w:style>
  <w:style w:type="character" w:styleId="FollowedHyperlink">
    <w:name w:val="FollowedHyperlink"/>
    <w:basedOn w:val="DefaultParagraphFont"/>
    <w:uiPriority w:val="99"/>
    <w:semiHidden/>
    <w:unhideWhenUsed/>
    <w:rsid w:val="00F32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42">
      <w:bodyDiv w:val="1"/>
      <w:marLeft w:val="0"/>
      <w:marRight w:val="0"/>
      <w:marTop w:val="0"/>
      <w:marBottom w:val="0"/>
      <w:divBdr>
        <w:top w:val="none" w:sz="0" w:space="0" w:color="auto"/>
        <w:left w:val="none" w:sz="0" w:space="0" w:color="auto"/>
        <w:bottom w:val="none" w:sz="0" w:space="0" w:color="auto"/>
        <w:right w:val="none" w:sz="0" w:space="0" w:color="auto"/>
      </w:divBdr>
    </w:div>
    <w:div w:id="204567502">
      <w:bodyDiv w:val="1"/>
      <w:marLeft w:val="0"/>
      <w:marRight w:val="0"/>
      <w:marTop w:val="0"/>
      <w:marBottom w:val="0"/>
      <w:divBdr>
        <w:top w:val="none" w:sz="0" w:space="0" w:color="auto"/>
        <w:left w:val="none" w:sz="0" w:space="0" w:color="auto"/>
        <w:bottom w:val="none" w:sz="0" w:space="0" w:color="auto"/>
        <w:right w:val="none" w:sz="0" w:space="0" w:color="auto"/>
      </w:divBdr>
    </w:div>
    <w:div w:id="444034878">
      <w:bodyDiv w:val="1"/>
      <w:marLeft w:val="0"/>
      <w:marRight w:val="0"/>
      <w:marTop w:val="0"/>
      <w:marBottom w:val="0"/>
      <w:divBdr>
        <w:top w:val="none" w:sz="0" w:space="0" w:color="auto"/>
        <w:left w:val="none" w:sz="0" w:space="0" w:color="auto"/>
        <w:bottom w:val="none" w:sz="0" w:space="0" w:color="auto"/>
        <w:right w:val="none" w:sz="0" w:space="0" w:color="auto"/>
      </w:divBdr>
    </w:div>
    <w:div w:id="447894077">
      <w:bodyDiv w:val="1"/>
      <w:marLeft w:val="0"/>
      <w:marRight w:val="0"/>
      <w:marTop w:val="0"/>
      <w:marBottom w:val="0"/>
      <w:divBdr>
        <w:top w:val="none" w:sz="0" w:space="0" w:color="auto"/>
        <w:left w:val="none" w:sz="0" w:space="0" w:color="auto"/>
        <w:bottom w:val="none" w:sz="0" w:space="0" w:color="auto"/>
        <w:right w:val="none" w:sz="0" w:space="0" w:color="auto"/>
      </w:divBdr>
    </w:div>
    <w:div w:id="472678370">
      <w:bodyDiv w:val="1"/>
      <w:marLeft w:val="0"/>
      <w:marRight w:val="0"/>
      <w:marTop w:val="0"/>
      <w:marBottom w:val="0"/>
      <w:divBdr>
        <w:top w:val="none" w:sz="0" w:space="0" w:color="auto"/>
        <w:left w:val="none" w:sz="0" w:space="0" w:color="auto"/>
        <w:bottom w:val="none" w:sz="0" w:space="0" w:color="auto"/>
        <w:right w:val="none" w:sz="0" w:space="0" w:color="auto"/>
      </w:divBdr>
    </w:div>
    <w:div w:id="632489426">
      <w:bodyDiv w:val="1"/>
      <w:marLeft w:val="0"/>
      <w:marRight w:val="0"/>
      <w:marTop w:val="0"/>
      <w:marBottom w:val="0"/>
      <w:divBdr>
        <w:top w:val="none" w:sz="0" w:space="0" w:color="auto"/>
        <w:left w:val="none" w:sz="0" w:space="0" w:color="auto"/>
        <w:bottom w:val="none" w:sz="0" w:space="0" w:color="auto"/>
        <w:right w:val="none" w:sz="0" w:space="0" w:color="auto"/>
      </w:divBdr>
    </w:div>
    <w:div w:id="1280062151">
      <w:bodyDiv w:val="1"/>
      <w:marLeft w:val="0"/>
      <w:marRight w:val="0"/>
      <w:marTop w:val="0"/>
      <w:marBottom w:val="0"/>
      <w:divBdr>
        <w:top w:val="none" w:sz="0" w:space="0" w:color="auto"/>
        <w:left w:val="none" w:sz="0" w:space="0" w:color="auto"/>
        <w:bottom w:val="none" w:sz="0" w:space="0" w:color="auto"/>
        <w:right w:val="none" w:sz="0" w:space="0" w:color="auto"/>
      </w:divBdr>
    </w:div>
    <w:div w:id="1336809361">
      <w:bodyDiv w:val="1"/>
      <w:marLeft w:val="0"/>
      <w:marRight w:val="0"/>
      <w:marTop w:val="0"/>
      <w:marBottom w:val="0"/>
      <w:divBdr>
        <w:top w:val="none" w:sz="0" w:space="0" w:color="auto"/>
        <w:left w:val="none" w:sz="0" w:space="0" w:color="auto"/>
        <w:bottom w:val="none" w:sz="0" w:space="0" w:color="auto"/>
        <w:right w:val="none" w:sz="0" w:space="0" w:color="auto"/>
      </w:divBdr>
    </w:div>
    <w:div w:id="1555195734">
      <w:bodyDiv w:val="1"/>
      <w:marLeft w:val="0"/>
      <w:marRight w:val="0"/>
      <w:marTop w:val="0"/>
      <w:marBottom w:val="0"/>
      <w:divBdr>
        <w:top w:val="none" w:sz="0" w:space="0" w:color="auto"/>
        <w:left w:val="none" w:sz="0" w:space="0" w:color="auto"/>
        <w:bottom w:val="none" w:sz="0" w:space="0" w:color="auto"/>
        <w:right w:val="none" w:sz="0" w:space="0" w:color="auto"/>
      </w:divBdr>
    </w:div>
    <w:div w:id="1697150290">
      <w:bodyDiv w:val="1"/>
      <w:marLeft w:val="0"/>
      <w:marRight w:val="0"/>
      <w:marTop w:val="0"/>
      <w:marBottom w:val="0"/>
      <w:divBdr>
        <w:top w:val="none" w:sz="0" w:space="0" w:color="auto"/>
        <w:left w:val="none" w:sz="0" w:space="0" w:color="auto"/>
        <w:bottom w:val="none" w:sz="0" w:space="0" w:color="auto"/>
        <w:right w:val="none" w:sz="0" w:space="0" w:color="auto"/>
      </w:divBdr>
    </w:div>
    <w:div w:id="1921602146">
      <w:bodyDiv w:val="1"/>
      <w:marLeft w:val="0"/>
      <w:marRight w:val="0"/>
      <w:marTop w:val="0"/>
      <w:marBottom w:val="0"/>
      <w:divBdr>
        <w:top w:val="none" w:sz="0" w:space="0" w:color="auto"/>
        <w:left w:val="none" w:sz="0" w:space="0" w:color="auto"/>
        <w:bottom w:val="none" w:sz="0" w:space="0" w:color="auto"/>
        <w:right w:val="none" w:sz="0" w:space="0" w:color="auto"/>
      </w:divBdr>
    </w:div>
    <w:div w:id="2057316839">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ec.europa.eu/farming/organic-farming/organic-logo_en"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ec.europa.eu/farming/organic-farming/legislation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 xmlns="769612c4-c021-4b5c-a664-ed7cb5476d04">false</AP>
    <Createdby xmlns="769612c4-c021-4b5c-a664-ed7cb5476d04">
      <UserInfo>
        <DisplayName/>
        <AccountId xsi:nil="true"/>
        <AccountType/>
      </UserInfo>
    </Createdby>
    <SharedWithUsers xmlns="26d81215-cfa5-4b41-94b0-2827e70eb11a">
      <UserInfo>
        <DisplayName/>
        <AccountId xsi:nil="true"/>
        <AccountType/>
      </UserInfo>
    </SharedWithUsers>
    <lcf76f155ced4ddcb4097134ff3c332f xmlns="769612c4-c021-4b5c-a664-ed7cb5476d04">
      <Terms xmlns="http://schemas.microsoft.com/office/infopath/2007/PartnerControls"/>
    </lcf76f155ced4ddcb4097134ff3c332f>
    <TaxCatchAll xmlns="26d81215-cfa5-4b41-94b0-2827e70eb11a" xsi:nil="true"/>
    <AR xmlns="769612c4-c021-4b5c-a664-ed7cb5476d04">false</AR>
  </documentManagement>
</p:properties>
</file>

<file path=customXml/itemProps1.xml><?xml version="1.0" encoding="utf-8"?>
<ds:datastoreItem xmlns:ds="http://schemas.openxmlformats.org/officeDocument/2006/customXml" ds:itemID="{3B39E75F-EAF5-40DA-A0B9-8CD98F59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D3378-4421-494B-BCE6-B3F3B254B7EA}">
  <ds:schemaRefs>
    <ds:schemaRef ds:uri="http://schemas.microsoft.com/office/2006/metadata/longProperties"/>
  </ds:schemaRefs>
</ds:datastoreItem>
</file>

<file path=customXml/itemProps3.xml><?xml version="1.0" encoding="utf-8"?>
<ds:datastoreItem xmlns:ds="http://schemas.openxmlformats.org/officeDocument/2006/customXml" ds:itemID="{F523A994-280E-42B9-92F9-F35557A7D2CE}">
  <ds:schemaRefs>
    <ds:schemaRef ds:uri="http://schemas.microsoft.com/sharepoint/v3/contenttype/forms"/>
  </ds:schemaRefs>
</ds:datastoreItem>
</file>

<file path=customXml/itemProps4.xml><?xml version="1.0" encoding="utf-8"?>
<ds:datastoreItem xmlns:ds="http://schemas.openxmlformats.org/officeDocument/2006/customXml" ds:itemID="{26989F34-E5CF-47F2-9FD9-6C31D3BB2677}">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Links>
    <vt:vector size="36" baseType="variant">
      <vt:variant>
        <vt:i4>2097278</vt:i4>
      </vt:variant>
      <vt:variant>
        <vt:i4>18</vt:i4>
      </vt:variant>
      <vt:variant>
        <vt:i4>0</vt:i4>
      </vt:variant>
      <vt:variant>
        <vt:i4>5</vt:i4>
      </vt:variant>
      <vt:variant>
        <vt:lpwstr>http://howtogoorganic.com/</vt:lpwstr>
      </vt:variant>
      <vt:variant>
        <vt:lpwstr/>
      </vt:variant>
      <vt:variant>
        <vt:i4>2818149</vt:i4>
      </vt:variant>
      <vt:variant>
        <vt:i4>15</vt:i4>
      </vt:variant>
      <vt:variant>
        <vt:i4>0</vt:i4>
      </vt:variant>
      <vt:variant>
        <vt:i4>5</vt:i4>
      </vt:variant>
      <vt:variant>
        <vt:lpwstr>http://www.ota.com/</vt:lpwstr>
      </vt:variant>
      <vt:variant>
        <vt:lpwstr/>
      </vt:variant>
      <vt:variant>
        <vt:i4>5832796</vt:i4>
      </vt:variant>
      <vt:variant>
        <vt:i4>12</vt:i4>
      </vt:variant>
      <vt:variant>
        <vt:i4>0</vt:i4>
      </vt:variant>
      <vt:variant>
        <vt:i4>5</vt:i4>
      </vt:variant>
      <vt:variant>
        <vt:lpwstr>http://www.sare.org/</vt:lpwstr>
      </vt:variant>
      <vt:variant>
        <vt:lpwstr/>
      </vt:variant>
      <vt:variant>
        <vt:i4>2228309</vt:i4>
      </vt:variant>
      <vt:variant>
        <vt:i4>9</vt:i4>
      </vt:variant>
      <vt:variant>
        <vt:i4>0</vt:i4>
      </vt:variant>
      <vt:variant>
        <vt:i4>5</vt:i4>
      </vt:variant>
      <vt:variant>
        <vt:lpwstr>http://www.omri.org/OMRI_datatable.php</vt:lpwstr>
      </vt:variant>
      <vt:variant>
        <vt:lpwstr/>
      </vt:variant>
      <vt:variant>
        <vt:i4>7340090</vt:i4>
      </vt:variant>
      <vt:variant>
        <vt:i4>6</vt:i4>
      </vt:variant>
      <vt:variant>
        <vt:i4>0</vt:i4>
      </vt:variant>
      <vt:variant>
        <vt:i4>5</vt:i4>
      </vt:variant>
      <vt:variant>
        <vt:lpwstr>https://www.ecfr.gov/current/title-7/subtitle-B/chapter-I/subchapter-M/part-205</vt:lpwstr>
      </vt:variant>
      <vt:variant>
        <vt:lpwstr/>
      </vt:variant>
      <vt:variant>
        <vt:i4>458833</vt:i4>
      </vt:variant>
      <vt:variant>
        <vt:i4>0</vt:i4>
      </vt:variant>
      <vt:variant>
        <vt:i4>0</vt:i4>
      </vt:variant>
      <vt:variant>
        <vt:i4>5</vt:i4>
      </vt:variant>
      <vt:variant>
        <vt:lpwstr>https://www.ams.usda.gov/about-ams/programs-offices/national-organic-program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Stilwell</dc:creator>
  <cp:keywords/>
  <cp:lastModifiedBy>Ricardo Areingdale - QCS</cp:lastModifiedBy>
  <cp:revision>3</cp:revision>
  <cp:lastPrinted>2014-02-01T01:12:00Z</cp:lastPrinted>
  <dcterms:created xsi:type="dcterms:W3CDTF">2023-08-17T21:11:00Z</dcterms:created>
  <dcterms:modified xsi:type="dcterms:W3CDTF">2023-08-17T21:11:00Z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lcf76f155ced4ddcb4097134ff3c332f">
    <vt:lpwstr/>
  </property>
  <property fmtid="{D5CDD505-2E9C-101B-9397-08002B2CF9AE}" pid="4" name="AP">
    <vt:lpwstr>0</vt:lpwstr>
  </property>
  <property fmtid="{D5CDD505-2E9C-101B-9397-08002B2CF9AE}" pid="5" name="TaxCatchAll">
    <vt:lpwstr/>
  </property>
  <property fmtid="{D5CDD505-2E9C-101B-9397-08002B2CF9AE}" pid="6" name="Createdby">
    <vt:lpwstr/>
  </property>
  <property fmtid="{D5CDD505-2E9C-101B-9397-08002B2CF9AE}" pid="7" name="AR">
    <vt:lpwstr>0</vt:lpwstr>
  </property>
  <property fmtid="{D5CDD505-2E9C-101B-9397-08002B2CF9AE}" pid="8" name="ContentTypeId">
    <vt:lpwstr>0x01010073A90DB4E298DF48979A6FA7847D33A2</vt:lpwstr>
  </property>
</Properties>
</file>