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BDD5F" w14:textId="77777777" w:rsidR="00CF204E" w:rsidRPr="00475206" w:rsidRDefault="00A60D78" w:rsidP="00475206">
      <w:pPr>
        <w:spacing w:after="120" w:line="276" w:lineRule="auto"/>
        <w:rPr>
          <w:rFonts w:eastAsia="Calibri"/>
          <w:sz w:val="72"/>
          <w:szCs w:val="72"/>
          <w:lang w:val="es-419"/>
        </w:rPr>
      </w:pPr>
      <w:r w:rsidRPr="00475206">
        <w:rPr>
          <w:noProof/>
          <w:sz w:val="72"/>
          <w:szCs w:val="72"/>
        </w:rPr>
        <w:drawing>
          <wp:anchor distT="0" distB="0" distL="114300" distR="114300" simplePos="0" relativeHeight="251768320" behindDoc="0" locked="0" layoutInCell="1" allowOverlap="1" wp14:anchorId="2BAA20A1" wp14:editId="5FCEF47F">
            <wp:simplePos x="914400" y="914400"/>
            <wp:positionH relativeFrom="page">
              <wp:align>center</wp:align>
            </wp:positionH>
            <wp:positionV relativeFrom="page">
              <wp:posOffset>1828800</wp:posOffset>
            </wp:positionV>
            <wp:extent cx="5934456" cy="1389888"/>
            <wp:effectExtent l="0" t="0" r="0" b="1270"/>
            <wp:wrapSquare wrapText="bothSides"/>
            <wp:docPr id="8" name="Picture 8" descr="\\DCFOG\Company\Users\QCS\beth.rota\Desktop\QCS Logos\QCS-Main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34456" cy="1389888"/>
                    </a:xfrm>
                    <a:prstGeom prst="rect">
                      <a:avLst/>
                    </a:prstGeom>
                  </pic:spPr>
                </pic:pic>
              </a:graphicData>
            </a:graphic>
            <wp14:sizeRelH relativeFrom="margin">
              <wp14:pctWidth>0</wp14:pctWidth>
            </wp14:sizeRelH>
            <wp14:sizeRelV relativeFrom="margin">
              <wp14:pctHeight>0</wp14:pctHeight>
            </wp14:sizeRelV>
          </wp:anchor>
        </w:drawing>
      </w:r>
    </w:p>
    <w:p w14:paraId="73D883D7" w14:textId="77777777" w:rsidR="00345AA0" w:rsidRPr="00475206" w:rsidRDefault="00345AA0" w:rsidP="00475206">
      <w:pPr>
        <w:spacing w:after="120" w:line="276" w:lineRule="auto"/>
        <w:rPr>
          <w:rFonts w:eastAsia="Calibri"/>
          <w:color w:val="44546A" w:themeColor="text2"/>
          <w:sz w:val="72"/>
          <w:szCs w:val="72"/>
          <w:lang w:val="es-419"/>
        </w:rPr>
      </w:pPr>
    </w:p>
    <w:p w14:paraId="5446B289" w14:textId="77777777" w:rsidR="007C02EB" w:rsidRPr="00475206" w:rsidRDefault="007C02EB" w:rsidP="00475206">
      <w:pPr>
        <w:spacing w:after="120" w:line="276" w:lineRule="auto"/>
        <w:rPr>
          <w:rFonts w:eastAsia="Calibri"/>
          <w:color w:val="44546A" w:themeColor="text2"/>
          <w:sz w:val="72"/>
          <w:szCs w:val="72"/>
          <w:lang w:val="es-419"/>
        </w:rPr>
      </w:pPr>
    </w:p>
    <w:p w14:paraId="2C63F5B2" w14:textId="18B947DC" w:rsidR="00CF204E" w:rsidRPr="00475206" w:rsidRDefault="227E1361" w:rsidP="00475206">
      <w:pPr>
        <w:pStyle w:val="Title"/>
        <w:spacing w:after="120" w:line="276" w:lineRule="auto"/>
        <w:contextualSpacing w:val="0"/>
        <w:jc w:val="center"/>
        <w:rPr>
          <w:rFonts w:eastAsia="Times New Roman"/>
          <w:caps w:val="0"/>
          <w:smallCaps/>
          <w:lang w:val="es-419"/>
        </w:rPr>
      </w:pPr>
      <w:r w:rsidRPr="00475206">
        <w:rPr>
          <w:rFonts w:eastAsia="Times New Roman"/>
          <w:caps w:val="0"/>
          <w:smallCaps/>
        </w:rPr>
        <w:t xml:space="preserve">QCS </w:t>
      </w:r>
      <w:r w:rsidR="00475206">
        <w:rPr>
          <w:rFonts w:eastAsia="Times New Roman"/>
          <w:caps w:val="0"/>
          <w:smallCaps/>
        </w:rPr>
        <w:t>M</w:t>
      </w:r>
      <w:r w:rsidRPr="00475206">
        <w:rPr>
          <w:rFonts w:eastAsia="Times New Roman"/>
          <w:caps w:val="0"/>
          <w:smallCaps/>
        </w:rPr>
        <w:t xml:space="preserve">anual de </w:t>
      </w:r>
      <w:r w:rsidR="00475206">
        <w:rPr>
          <w:rFonts w:eastAsia="Times New Roman"/>
          <w:caps w:val="0"/>
          <w:smallCaps/>
        </w:rPr>
        <w:t>C</w:t>
      </w:r>
      <w:r w:rsidRPr="00475206">
        <w:rPr>
          <w:rFonts w:eastAsia="Times New Roman"/>
          <w:caps w:val="0"/>
          <w:smallCaps/>
        </w:rPr>
        <w:t>ertificación Orgánica</w:t>
      </w:r>
    </w:p>
    <w:p w14:paraId="11D570BA" w14:textId="79BBE6B5" w:rsidR="007C02EB" w:rsidRPr="00F91DD0" w:rsidRDefault="227E1361" w:rsidP="00475206">
      <w:pPr>
        <w:spacing w:after="120" w:line="276" w:lineRule="auto"/>
        <w:jc w:val="center"/>
        <w:rPr>
          <w:rFonts w:eastAsia="Calibri"/>
          <w:lang w:val="es-419"/>
        </w:rPr>
      </w:pPr>
      <w:r w:rsidRPr="227E1361">
        <w:rPr>
          <w:rFonts w:eastAsia="Calibri"/>
        </w:rPr>
        <w:t xml:space="preserve">QCS es el Agente de Certificación </w:t>
      </w:r>
      <w:r w:rsidR="00E91C76">
        <w:rPr>
          <w:rFonts w:eastAsia="Calibri"/>
        </w:rPr>
        <w:t>(</w:t>
      </w:r>
      <w:r w:rsidR="00AC24B2">
        <w:rPr>
          <w:rFonts w:eastAsia="Calibri"/>
        </w:rPr>
        <w:t xml:space="preserve">AC) </w:t>
      </w:r>
      <w:r w:rsidRPr="227E1361">
        <w:rPr>
          <w:rFonts w:eastAsia="Calibri"/>
        </w:rPr>
        <w:t>de Florida Certified Organic Growers and Consumers, Inc. (FOG)</w:t>
      </w:r>
    </w:p>
    <w:p w14:paraId="445258DA" w14:textId="77777777" w:rsidR="00A60D78" w:rsidRPr="00F91DD0" w:rsidRDefault="00A60D78" w:rsidP="00475206">
      <w:pPr>
        <w:spacing w:after="120" w:line="276" w:lineRule="auto"/>
        <w:rPr>
          <w:lang w:val="es-419"/>
        </w:rPr>
      </w:pPr>
    </w:p>
    <w:p w14:paraId="100C5C38" w14:textId="564AE0C8" w:rsidR="00607278" w:rsidRPr="007B2AAE" w:rsidRDefault="227E1361" w:rsidP="00337BBD">
      <w:pPr>
        <w:spacing w:line="276" w:lineRule="auto"/>
        <w:rPr>
          <w:rFonts w:eastAsia="Times New Roman" w:cstheme="minorHAnsi"/>
          <w:sz w:val="20"/>
          <w:szCs w:val="20"/>
          <w:lang w:val="es-419"/>
        </w:rPr>
      </w:pPr>
      <w:r w:rsidRPr="007B2AAE">
        <w:rPr>
          <w:rFonts w:eastAsia="Times New Roman" w:cstheme="minorHAnsi"/>
          <w:sz w:val="20"/>
          <w:szCs w:val="20"/>
        </w:rPr>
        <w:t xml:space="preserve">Este documento contiene los estándares, políticas y procedimientos de certificación para los servicios de certificación ofrecidos por Quality Certification Services’ (QCS), los cuales incluyen: el USDA National Organic Program (NOP), las Regulaciones europeas sobre producción </w:t>
      </w:r>
      <w:r w:rsidRPr="007B2AAE">
        <w:rPr>
          <w:rFonts w:eastAsia="Segoe UI" w:cstheme="minorHAnsi"/>
          <w:color w:val="333333"/>
          <w:sz w:val="20"/>
          <w:szCs w:val="20"/>
        </w:rPr>
        <w:t>orgánico</w:t>
      </w:r>
      <w:r w:rsidRPr="007B2AAE">
        <w:rPr>
          <w:rFonts w:eastAsia="Times New Roman" w:cstheme="minorHAnsi"/>
          <w:sz w:val="20"/>
          <w:szCs w:val="20"/>
        </w:rPr>
        <w:t xml:space="preserve"> y etiquetado de productos ecológicos, el Canadian Organic Regime (COR), el programa </w:t>
      </w:r>
      <w:r w:rsidRPr="007B2AAE">
        <w:rPr>
          <w:rFonts w:eastAsia="Calibri" w:cstheme="minorHAnsi"/>
          <w:sz w:val="20"/>
          <w:szCs w:val="20"/>
        </w:rPr>
        <w:t>Regenerative Organic Certified©</w:t>
      </w:r>
      <w:r w:rsidRPr="007B2AAE">
        <w:rPr>
          <w:rFonts w:eastAsia="Times New Roman" w:cstheme="minorHAnsi"/>
          <w:sz w:val="20"/>
          <w:szCs w:val="20"/>
        </w:rPr>
        <w:t xml:space="preserve">, y el programa </w:t>
      </w:r>
      <w:r w:rsidRPr="007B2AAE">
        <w:rPr>
          <w:rFonts w:eastAsia="Calibri" w:cstheme="minorHAnsi"/>
          <w:sz w:val="20"/>
          <w:szCs w:val="20"/>
        </w:rPr>
        <w:t>Grass-Fed Organic Livestock por</w:t>
      </w:r>
      <w:r w:rsidRPr="007B2AAE">
        <w:rPr>
          <w:rFonts w:eastAsia="Times New Roman" w:cstheme="minorHAnsi"/>
          <w:sz w:val="20"/>
          <w:szCs w:val="20"/>
        </w:rPr>
        <w:t xml:space="preserve"> Organic Plus Trust Inc. (</w:t>
      </w:r>
      <w:r w:rsidRPr="007B2AAE">
        <w:rPr>
          <w:rFonts w:eastAsia="Calibri" w:cstheme="minorHAnsi"/>
          <w:sz w:val="20"/>
          <w:szCs w:val="20"/>
        </w:rPr>
        <w:t>OPT).</w:t>
      </w:r>
      <w:r w:rsidRPr="007B2AAE">
        <w:rPr>
          <w:rFonts w:eastAsia="Times New Roman" w:cstheme="minorHAnsi"/>
          <w:sz w:val="20"/>
          <w:szCs w:val="20"/>
        </w:rPr>
        <w:t xml:space="preserve"> QCS opera de acuerdo con los estándares de la Organización Internacional de Normalización (ISO) ISO/IEC 17065 </w:t>
      </w:r>
      <w:r w:rsidRPr="007B2AAE">
        <w:rPr>
          <w:rFonts w:eastAsia="Times New Roman" w:cstheme="minorHAnsi"/>
          <w:i/>
          <w:iCs/>
          <w:sz w:val="20"/>
          <w:szCs w:val="20"/>
        </w:rPr>
        <w:t>General Requirements for Bodies Operating Product Certification Systems</w:t>
      </w:r>
      <w:r w:rsidRPr="007B2AAE">
        <w:rPr>
          <w:rFonts w:eastAsia="Times New Roman" w:cstheme="minorHAnsi"/>
          <w:sz w:val="20"/>
          <w:szCs w:val="20"/>
        </w:rPr>
        <w:t>, el NOP y los acuerdos de exportación USDA-NOP según lo reconocido por el United States Department of Agriculture (USDA), Reglamento (UE) 2018/848 reconocido por la Comisión Europea, Requisitos de Suiza reconocidos por el Comité de Acreditación para la Evaluación de la Calidad (CAEQ), el Régimen Orgánico de Canadá reconocido por el Comité de Acreditación para la Evaluación de la Calidad (CAEQ) el programa Regenerative Organic Certified© según lo reconocido por NSF, Inc., y el Organic Plus Trust (OPT) Grass-Fed Organic Livestock Program por EarthClaims LLC.</w:t>
      </w:r>
    </w:p>
    <w:p w14:paraId="4DE2C692" w14:textId="593FB465" w:rsidR="00F91DD0" w:rsidRPr="00475206" w:rsidRDefault="00475206" w:rsidP="00337BBD">
      <w:pPr>
        <w:rPr>
          <w:rFonts w:eastAsia="Calibri"/>
          <w:lang w:val="es-419"/>
        </w:rPr>
      </w:pPr>
      <w:r>
        <w:rPr>
          <w:rFonts w:eastAsia="Calibri"/>
          <w:lang w:val="es-419"/>
        </w:rPr>
        <w:br w:type="page"/>
      </w:r>
    </w:p>
    <w:sdt>
      <w:sdtPr>
        <w:rPr>
          <w:lang w:val="es-419"/>
        </w:rPr>
        <w:id w:val="-1110280891"/>
        <w:docPartObj>
          <w:docPartGallery w:val="Table of Contents"/>
          <w:docPartUnique/>
        </w:docPartObj>
      </w:sdtPr>
      <w:sdtContent>
        <w:p w14:paraId="620BA426" w14:textId="360FDF20" w:rsidR="00C7408F" w:rsidRPr="00494A2D" w:rsidRDefault="227E1361" w:rsidP="00EE0B19">
          <w:pPr>
            <w:spacing w:after="240"/>
            <w:rPr>
              <w:rFonts w:asciiTheme="majorHAnsi" w:hAnsiTheme="majorHAnsi" w:cstheme="majorHAnsi"/>
              <w:smallCaps/>
              <w:color w:val="44546A" w:themeColor="text2"/>
              <w:sz w:val="40"/>
              <w:szCs w:val="40"/>
              <w:lang w:val="es-419"/>
            </w:rPr>
          </w:pPr>
          <w:r w:rsidRPr="00494A2D">
            <w:rPr>
              <w:rFonts w:asciiTheme="majorHAnsi" w:hAnsiTheme="majorHAnsi" w:cstheme="majorHAnsi"/>
              <w:smallCaps/>
              <w:color w:val="44546A" w:themeColor="text2"/>
              <w:sz w:val="40"/>
              <w:szCs w:val="40"/>
            </w:rPr>
            <w:t>Tabla de contenido</w:t>
          </w:r>
        </w:p>
        <w:p w14:paraId="52FD4676" w14:textId="60D27246"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r>
            <w:rPr>
              <w:rFonts w:cstheme="majorHAnsi"/>
              <w:b w:val="0"/>
              <w:bCs w:val="0"/>
              <w:caps/>
              <w:sz w:val="24"/>
              <w:lang w:val="es-419"/>
            </w:rPr>
            <w:fldChar w:fldCharType="begin"/>
          </w:r>
          <w:r>
            <w:rPr>
              <w:rFonts w:cstheme="majorHAnsi"/>
              <w:b w:val="0"/>
              <w:bCs w:val="0"/>
              <w:caps/>
              <w:sz w:val="24"/>
              <w:lang w:val="es-419"/>
            </w:rPr>
            <w:instrText xml:space="preserve"> TOC \o "1-1" \h \z \u </w:instrText>
          </w:r>
          <w:r>
            <w:rPr>
              <w:rFonts w:cstheme="majorHAnsi"/>
              <w:b w:val="0"/>
              <w:bCs w:val="0"/>
              <w:caps/>
              <w:sz w:val="24"/>
              <w:lang w:val="es-419"/>
            </w:rPr>
            <w:fldChar w:fldCharType="separate"/>
          </w:r>
          <w:hyperlink w:anchor="_Toc159414638" w:history="1">
            <w:r w:rsidRPr="005D5FDB">
              <w:rPr>
                <w:rStyle w:val="Hyperlink"/>
                <w:rFonts w:asciiTheme="majorHAnsi" w:hAnsiTheme="majorHAnsi" w:cstheme="majorHAnsi"/>
                <w:noProof/>
              </w:rPr>
              <w:t>01 Principios de la Producción y Manipulación Orgánica</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_Toc159414638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3</w:t>
            </w:r>
            <w:r w:rsidRPr="005D5FDB">
              <w:rPr>
                <w:rFonts w:cstheme="majorHAnsi"/>
                <w:noProof/>
                <w:webHidden/>
              </w:rPr>
              <w:fldChar w:fldCharType="end"/>
            </w:r>
          </w:hyperlink>
        </w:p>
        <w:p w14:paraId="598504F1" w14:textId="5B03C42F"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39" w:history="1">
            <w:r w:rsidRPr="005D5FDB">
              <w:rPr>
                <w:rStyle w:val="Hyperlink"/>
                <w:rFonts w:asciiTheme="majorHAnsi" w:hAnsiTheme="majorHAnsi" w:cstheme="majorHAnsi"/>
                <w:noProof/>
              </w:rPr>
              <w:t>02 Disposiciones Generales</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_Toc159414639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6</w:t>
            </w:r>
            <w:r w:rsidRPr="005D5FDB">
              <w:rPr>
                <w:rFonts w:cstheme="majorHAnsi"/>
                <w:noProof/>
                <w:webHidden/>
              </w:rPr>
              <w:fldChar w:fldCharType="end"/>
            </w:r>
          </w:hyperlink>
        </w:p>
        <w:p w14:paraId="5F1B76DA" w14:textId="62EFAC61"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0" w:history="1">
            <w:r w:rsidRPr="005D5FDB">
              <w:rPr>
                <w:rStyle w:val="Hyperlink"/>
                <w:rFonts w:asciiTheme="majorHAnsi" w:hAnsiTheme="majorHAnsi" w:cstheme="majorHAnsi"/>
                <w:noProof/>
              </w:rPr>
              <w:t>03 Categorías de Certificación</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_Toc159414640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13</w:t>
            </w:r>
            <w:r w:rsidRPr="005D5FDB">
              <w:rPr>
                <w:rFonts w:cstheme="majorHAnsi"/>
                <w:noProof/>
                <w:webHidden/>
              </w:rPr>
              <w:fldChar w:fldCharType="end"/>
            </w:r>
          </w:hyperlink>
        </w:p>
        <w:p w14:paraId="3BAB7937" w14:textId="7BECB0C2"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1" w:history="1">
            <w:r w:rsidRPr="005D5FDB">
              <w:rPr>
                <w:rStyle w:val="Hyperlink"/>
                <w:rFonts w:asciiTheme="majorHAnsi" w:hAnsiTheme="majorHAnsi" w:cstheme="majorHAnsi"/>
                <w:noProof/>
              </w:rPr>
              <w:t>04 Alcances de la Certificación</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_Toc159414641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14</w:t>
            </w:r>
            <w:r w:rsidRPr="005D5FDB">
              <w:rPr>
                <w:rFonts w:cstheme="majorHAnsi"/>
                <w:noProof/>
                <w:webHidden/>
              </w:rPr>
              <w:fldChar w:fldCharType="end"/>
            </w:r>
          </w:hyperlink>
        </w:p>
        <w:p w14:paraId="3C55FBA9" w14:textId="118E6E39"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2" w:history="1">
            <w:r w:rsidRPr="005D5FDB">
              <w:rPr>
                <w:rStyle w:val="Hyperlink"/>
                <w:rFonts w:asciiTheme="majorHAnsi" w:hAnsiTheme="majorHAnsi" w:cstheme="majorHAnsi"/>
                <w:noProof/>
              </w:rPr>
              <w:t>05 Etiquetado</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_Toc159414642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25</w:t>
            </w:r>
            <w:r w:rsidRPr="005D5FDB">
              <w:rPr>
                <w:rFonts w:cstheme="majorHAnsi"/>
                <w:noProof/>
                <w:webHidden/>
              </w:rPr>
              <w:fldChar w:fldCharType="end"/>
            </w:r>
          </w:hyperlink>
        </w:p>
        <w:p w14:paraId="49A46394" w14:textId="1A26AAF7"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3" w:history="1">
            <w:r w:rsidRPr="005D5FDB">
              <w:rPr>
                <w:rStyle w:val="Hyperlink"/>
                <w:rFonts w:asciiTheme="majorHAnsi" w:hAnsiTheme="majorHAnsi" w:cstheme="majorHAnsi"/>
                <w:noProof/>
              </w:rPr>
              <w:t>06 Pasos de la Certificación</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_Toc159414643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29</w:t>
            </w:r>
            <w:r w:rsidRPr="005D5FDB">
              <w:rPr>
                <w:rFonts w:cstheme="majorHAnsi"/>
                <w:noProof/>
                <w:webHidden/>
              </w:rPr>
              <w:fldChar w:fldCharType="end"/>
            </w:r>
          </w:hyperlink>
        </w:p>
        <w:p w14:paraId="428CEECC" w14:textId="49E63880"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4" w:history="1">
            <w:r w:rsidRPr="005D5FDB">
              <w:rPr>
                <w:rStyle w:val="Hyperlink"/>
                <w:rFonts w:asciiTheme="majorHAnsi" w:hAnsiTheme="majorHAnsi" w:cstheme="majorHAnsi"/>
                <w:noProof/>
              </w:rPr>
              <w:t>07 Provisiones adicionales</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_Toc159414644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50</w:t>
            </w:r>
            <w:r w:rsidRPr="005D5FDB">
              <w:rPr>
                <w:rFonts w:cstheme="majorHAnsi"/>
                <w:noProof/>
                <w:webHidden/>
              </w:rPr>
              <w:fldChar w:fldCharType="end"/>
            </w:r>
          </w:hyperlink>
        </w:p>
        <w:p w14:paraId="33B1CD45" w14:textId="7B5D22E7"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5" w:history="1">
            <w:r w:rsidRPr="005D5FDB">
              <w:rPr>
                <w:rStyle w:val="Hyperlink"/>
                <w:rFonts w:asciiTheme="majorHAnsi" w:hAnsiTheme="majorHAnsi" w:cstheme="majorHAnsi"/>
                <w:noProof/>
              </w:rPr>
              <w:t>08 Mediación y apelación</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_Toc159414645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60</w:t>
            </w:r>
            <w:r w:rsidRPr="005D5FDB">
              <w:rPr>
                <w:rFonts w:cstheme="majorHAnsi"/>
                <w:noProof/>
                <w:webHidden/>
              </w:rPr>
              <w:fldChar w:fldCharType="end"/>
            </w:r>
          </w:hyperlink>
        </w:p>
        <w:p w14:paraId="471C9CA5" w14:textId="0AEB997D"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6" w:history="1">
            <w:r w:rsidRPr="005D5FDB">
              <w:rPr>
                <w:rStyle w:val="Hyperlink"/>
                <w:rFonts w:asciiTheme="majorHAnsi" w:hAnsiTheme="majorHAnsi" w:cstheme="majorHAnsi"/>
                <w:noProof/>
              </w:rPr>
              <w:t>09 Querellas</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_Toc159414646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62</w:t>
            </w:r>
            <w:r w:rsidRPr="005D5FDB">
              <w:rPr>
                <w:rFonts w:cstheme="majorHAnsi"/>
                <w:noProof/>
                <w:webHidden/>
              </w:rPr>
              <w:fldChar w:fldCharType="end"/>
            </w:r>
          </w:hyperlink>
        </w:p>
        <w:p w14:paraId="2FB231D8" w14:textId="4C3C71D9"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7" w:history="1">
            <w:r w:rsidRPr="005D5FDB">
              <w:rPr>
                <w:rStyle w:val="Hyperlink"/>
                <w:rFonts w:asciiTheme="majorHAnsi" w:hAnsiTheme="majorHAnsi" w:cstheme="majorHAnsi"/>
                <w:noProof/>
              </w:rPr>
              <w:t>10 Muestreo y Análisis de Productos Agrícolas</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_Toc159414647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64</w:t>
            </w:r>
            <w:r w:rsidRPr="005D5FDB">
              <w:rPr>
                <w:rFonts w:cstheme="majorHAnsi"/>
                <w:noProof/>
                <w:webHidden/>
              </w:rPr>
              <w:fldChar w:fldCharType="end"/>
            </w:r>
          </w:hyperlink>
        </w:p>
        <w:p w14:paraId="622F0562" w14:textId="0251C1D2"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8" w:history="1">
            <w:r w:rsidRPr="005D5FDB">
              <w:rPr>
                <w:rStyle w:val="Hyperlink"/>
                <w:rFonts w:asciiTheme="majorHAnsi" w:hAnsiTheme="majorHAnsi" w:cstheme="majorHAnsi"/>
                <w:noProof/>
              </w:rPr>
              <w:t>11 Revisión de Programas y Normas</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_Toc159414648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67</w:t>
            </w:r>
            <w:r w:rsidRPr="005D5FDB">
              <w:rPr>
                <w:rFonts w:cstheme="majorHAnsi"/>
                <w:noProof/>
                <w:webHidden/>
              </w:rPr>
              <w:fldChar w:fldCharType="end"/>
            </w:r>
          </w:hyperlink>
        </w:p>
        <w:p w14:paraId="40EE593E" w14:textId="36C9676B" w:rsidR="005D5FDB" w:rsidRPr="005D5FDB" w:rsidRDefault="005D5FDB">
          <w:pPr>
            <w:pStyle w:val="TOC1"/>
            <w:rPr>
              <w:rFonts w:eastAsiaTheme="minorEastAsia" w:cstheme="majorHAnsi"/>
              <w:b w:val="0"/>
              <w:bCs w:val="0"/>
              <w:smallCaps w:val="0"/>
              <w:noProof/>
              <w:color w:val="auto"/>
              <w:kern w:val="2"/>
              <w:sz w:val="24"/>
              <w:lang w:val="en-US" w:eastAsia="zh-CN"/>
              <w14:ligatures w14:val="standardContextual"/>
            </w:rPr>
          </w:pPr>
          <w:hyperlink w:anchor="_Toc159414649" w:history="1">
            <w:r w:rsidRPr="005D5FDB">
              <w:rPr>
                <w:rStyle w:val="Hyperlink"/>
                <w:rFonts w:asciiTheme="majorHAnsi" w:hAnsiTheme="majorHAnsi" w:cstheme="majorHAnsi"/>
                <w:noProof/>
              </w:rPr>
              <w:t>12 Tarifas</w:t>
            </w:r>
            <w:r w:rsidRPr="005D5FDB">
              <w:rPr>
                <w:rFonts w:cstheme="majorHAnsi"/>
                <w:noProof/>
                <w:webHidden/>
              </w:rPr>
              <w:tab/>
            </w:r>
            <w:r w:rsidRPr="005D5FDB">
              <w:rPr>
                <w:rFonts w:cstheme="majorHAnsi"/>
                <w:noProof/>
                <w:webHidden/>
              </w:rPr>
              <w:fldChar w:fldCharType="begin"/>
            </w:r>
            <w:r w:rsidRPr="005D5FDB">
              <w:rPr>
                <w:rFonts w:cstheme="majorHAnsi"/>
                <w:noProof/>
                <w:webHidden/>
              </w:rPr>
              <w:instrText xml:space="preserve"> PAGEREF _Toc159414649 \h </w:instrText>
            </w:r>
            <w:r w:rsidRPr="005D5FDB">
              <w:rPr>
                <w:rFonts w:cstheme="majorHAnsi"/>
                <w:noProof/>
                <w:webHidden/>
              </w:rPr>
            </w:r>
            <w:r w:rsidRPr="005D5FDB">
              <w:rPr>
                <w:rFonts w:cstheme="majorHAnsi"/>
                <w:noProof/>
                <w:webHidden/>
              </w:rPr>
              <w:fldChar w:fldCharType="separate"/>
            </w:r>
            <w:r w:rsidR="00B340C8">
              <w:rPr>
                <w:rFonts w:cstheme="majorHAnsi"/>
                <w:noProof/>
                <w:webHidden/>
              </w:rPr>
              <w:t>69</w:t>
            </w:r>
            <w:r w:rsidRPr="005D5FDB">
              <w:rPr>
                <w:rFonts w:cstheme="majorHAnsi"/>
                <w:noProof/>
                <w:webHidden/>
              </w:rPr>
              <w:fldChar w:fldCharType="end"/>
            </w:r>
          </w:hyperlink>
        </w:p>
        <w:p w14:paraId="73A53286" w14:textId="12E274CB" w:rsidR="00C7408F" w:rsidRPr="00F91DD0" w:rsidRDefault="005D5FDB" w:rsidP="00337BBD">
          <w:pPr>
            <w:rPr>
              <w:lang w:val="es-419"/>
            </w:rPr>
          </w:pPr>
          <w:r>
            <w:rPr>
              <w:rFonts w:asciiTheme="majorHAnsi" w:eastAsia="Times New Roman" w:hAnsiTheme="majorHAnsi" w:cstheme="majorHAnsi"/>
              <w:b/>
              <w:bCs/>
              <w:caps/>
              <w:color w:val="000000" w:themeColor="text1"/>
              <w:sz w:val="24"/>
              <w:szCs w:val="24"/>
              <w:lang w:val="es-419"/>
            </w:rPr>
            <w:fldChar w:fldCharType="end"/>
          </w:r>
        </w:p>
      </w:sdtContent>
    </w:sdt>
    <w:p w14:paraId="21374EA9" w14:textId="401845F5" w:rsidR="00963443" w:rsidRDefault="0071791D" w:rsidP="00337BBD">
      <w:pPr>
        <w:rPr>
          <w:rFonts w:eastAsia="Times New Roman"/>
          <w:lang w:val="es-419"/>
        </w:rPr>
      </w:pPr>
      <w:r>
        <w:rPr>
          <w:rFonts w:eastAsia="Times New Roman"/>
          <w:lang w:val="es-419"/>
        </w:rPr>
        <w:br w:type="page"/>
      </w:r>
    </w:p>
    <w:p w14:paraId="30EE99B7" w14:textId="5AA97023" w:rsidR="00CF204E" w:rsidRPr="00DF46F8" w:rsidRDefault="227E1361" w:rsidP="00337BBD">
      <w:pPr>
        <w:pStyle w:val="Heading1"/>
        <w:spacing w:before="0" w:after="240" w:line="240" w:lineRule="auto"/>
        <w:rPr>
          <w:smallCaps w:val="0"/>
          <w:lang w:val="es-419"/>
        </w:rPr>
      </w:pPr>
      <w:bookmarkStart w:id="0" w:name="_Toc424898844"/>
      <w:bookmarkStart w:id="1" w:name="_Toc474161814"/>
      <w:bookmarkStart w:id="2" w:name="_Toc474161840"/>
      <w:bookmarkStart w:id="3" w:name="_Toc500935011"/>
      <w:bookmarkStart w:id="4" w:name="_Toc159414638"/>
      <w:r w:rsidRPr="00DF46F8">
        <w:rPr>
          <w:szCs w:val="40"/>
        </w:rPr>
        <w:lastRenderedPageBreak/>
        <w:t>01 Principios de la Producción y Manipulación Orgánica</w:t>
      </w:r>
      <w:bookmarkEnd w:id="0"/>
      <w:bookmarkEnd w:id="1"/>
      <w:bookmarkEnd w:id="2"/>
      <w:bookmarkEnd w:id="3"/>
      <w:bookmarkEnd w:id="4"/>
    </w:p>
    <w:p w14:paraId="7B9EA34A" w14:textId="2693F855" w:rsidR="0086769E" w:rsidRPr="00541B63" w:rsidRDefault="227E1361" w:rsidP="00D809F9">
      <w:pPr>
        <w:pStyle w:val="Heading2"/>
        <w:rPr>
          <w:lang w:val="es-419"/>
        </w:rPr>
      </w:pPr>
      <w:r w:rsidRPr="00541B63">
        <w:t>Sistemas de Gestión de Producción Holística</w:t>
      </w:r>
    </w:p>
    <w:p w14:paraId="5716CEE9" w14:textId="3E9CDF2D" w:rsidR="00CF204E" w:rsidRPr="008C174C" w:rsidRDefault="227E1361" w:rsidP="00337BBD">
      <w:r>
        <w:t>La agricultura orgánica se basa en sistemas integrales de gestió</w:t>
      </w:r>
      <w:r w:rsidRPr="00FE7F19">
        <w:t xml:space="preserve">n de la producción holística que promueven y mejoran la salud </w:t>
      </w:r>
      <w:r w:rsidR="00B17FE6" w:rsidRPr="00FE7F19">
        <w:t>de los agroecosistemas</w:t>
      </w:r>
      <w:r w:rsidRPr="00FE7F19">
        <w:t xml:space="preserve">, incluida la biodiversidad, los </w:t>
      </w:r>
      <w:proofErr w:type="gramStart"/>
      <w:r w:rsidRPr="00FE7F19">
        <w:t>ciclos biológicos y la actividad biológica</w:t>
      </w:r>
      <w:proofErr w:type="gramEnd"/>
      <w:r w:rsidRPr="00FE7F19">
        <w:t xml:space="preserve"> del suelo. La agricultura orgánica enfatiza el uso de prácticas de prácticas de gestión en preferencia al uso de insumos externos al campo, teniendo en cuenta que las condiciones requieren sistemas adaptados localmente.</w:t>
      </w:r>
      <w:r>
        <w:t xml:space="preserve"> Estos objetivos se cumplen, cuando es posible, mediante el uso de métodos culturales, biológicos y mecánicos, en lugar de utilizar materiales sintéticos, para cumplir funciones específicas dentro del sistema.</w:t>
      </w:r>
    </w:p>
    <w:p w14:paraId="00138FCA" w14:textId="076385F4" w:rsidR="000D00C5" w:rsidRPr="00F91DD0" w:rsidRDefault="227E1361" w:rsidP="00D809F9">
      <w:pPr>
        <w:pStyle w:val="Heading2"/>
        <w:rPr>
          <w:lang w:val="es-419"/>
        </w:rPr>
      </w:pPr>
      <w:r w:rsidRPr="227E1361">
        <w:t>Estándares Orgánicos</w:t>
      </w:r>
    </w:p>
    <w:p w14:paraId="213CA67B" w14:textId="241FA191" w:rsidR="004B2E75" w:rsidRPr="00F91DD0" w:rsidRDefault="227E1361" w:rsidP="00337BBD">
      <w:pPr>
        <w:rPr>
          <w:rFonts w:eastAsia="Times New Roman"/>
          <w:lang w:val="es-419"/>
        </w:rPr>
      </w:pPr>
      <w:r>
        <w:t>Los productos producidos orgánicamente se identifican bajo estándares específicos y precisos de producción basados en el uso de prácticas de producción ecológicamente racionales, que son intrínsecas a la identificación y etiquetado de productos orgánicos. Para obtener una lista de estos estándares, consulte los Manuales de Estándares</w:t>
      </w:r>
      <w:r w:rsidRPr="227E1361">
        <w:rPr>
          <w:rFonts w:eastAsia="Times New Roman"/>
        </w:rPr>
        <w:t>.</w:t>
      </w:r>
    </w:p>
    <w:p w14:paraId="52B96B98" w14:textId="472D8A4A" w:rsidR="00CF204E" w:rsidRPr="00F91DD0" w:rsidRDefault="227E1361" w:rsidP="00D809F9">
      <w:pPr>
        <w:pStyle w:val="Heading2"/>
        <w:rPr>
          <w:rFonts w:eastAsia="Calibri"/>
          <w:lang w:val="es-419"/>
        </w:rPr>
      </w:pPr>
      <w:bookmarkStart w:id="5" w:name="_Toc500935014"/>
      <w:r w:rsidRPr="227E1361">
        <w:rPr>
          <w:rFonts w:eastAsia="Calibri"/>
        </w:rPr>
        <w:t>Certificación</w:t>
      </w:r>
      <w:bookmarkEnd w:id="5"/>
      <w:r w:rsidRPr="227E1361">
        <w:rPr>
          <w:rFonts w:eastAsia="Calibri"/>
        </w:rPr>
        <w:t xml:space="preserve"> Orgánica</w:t>
      </w:r>
    </w:p>
    <w:p w14:paraId="6F206B8A" w14:textId="6DA02B62" w:rsidR="00325648" w:rsidRPr="00F91DD0" w:rsidRDefault="227E1361" w:rsidP="00337BBD">
      <w:pPr>
        <w:contextualSpacing/>
        <w:rPr>
          <w:rFonts w:eastAsia="Calibri"/>
          <w:lang w:val="es-419"/>
        </w:rPr>
      </w:pPr>
      <w:r w:rsidRPr="227E1361">
        <w:rPr>
          <w:rFonts w:eastAsia="Calibri"/>
        </w:rPr>
        <w:t>La certificación orgánica es un sistema de confianza institucionalizado que permite a los consumidores identificar y recompensar a quienes cumplen con los estándares orgánicos. Esto requiere un esfuerzo informado por parte del productor o manipulador, y una cuidadosa vigilancia con una toma de decisiones consistente y transparente por parte del agente certificador / organismo de control.</w:t>
      </w:r>
    </w:p>
    <w:p w14:paraId="49CA7F9F" w14:textId="2414ADB4" w:rsidR="00325648" w:rsidRPr="00F91DD0" w:rsidRDefault="227E1361" w:rsidP="004B1571">
      <w:pPr>
        <w:pStyle w:val="ListParagraph"/>
        <w:numPr>
          <w:ilvl w:val="0"/>
          <w:numId w:val="8"/>
        </w:numPr>
        <w:ind w:left="360"/>
        <w:rPr>
          <w:rFonts w:eastAsia="Calibri"/>
          <w:lang w:val="es-419"/>
        </w:rPr>
      </w:pPr>
      <w:r w:rsidRPr="227E1361">
        <w:rPr>
          <w:rFonts w:eastAsia="Calibri"/>
        </w:rPr>
        <w:t>Los sistemas de producción orgánica se esfuerzan por lograr agroecosistemas que sean ecológicos, sociales y económicamente sostenibles.</w:t>
      </w:r>
    </w:p>
    <w:p w14:paraId="6EAAFF6E" w14:textId="558A154B" w:rsidR="00CF204E" w:rsidRPr="00F91DD0" w:rsidRDefault="227E1361" w:rsidP="004B1571">
      <w:pPr>
        <w:pStyle w:val="ListParagraph"/>
        <w:numPr>
          <w:ilvl w:val="0"/>
          <w:numId w:val="8"/>
        </w:numPr>
        <w:ind w:left="360"/>
        <w:rPr>
          <w:rFonts w:eastAsia="Calibri"/>
          <w:lang w:val="es-419"/>
        </w:rPr>
      </w:pPr>
      <w:r w:rsidRPr="227E1361">
        <w:rPr>
          <w:rFonts w:eastAsia="Calibri"/>
        </w:rPr>
        <w:t xml:space="preserve">Las normas orgánicas requieren que cada entidad orgánica certificada complete y envíe para su aprobación por un Revisor de Certificación, un Plan de </w:t>
      </w:r>
      <w:r w:rsidR="00F6655F">
        <w:rPr>
          <w:rFonts w:eastAsia="Calibri"/>
        </w:rPr>
        <w:t>Sistema</w:t>
      </w:r>
      <w:r w:rsidRPr="227E1361">
        <w:rPr>
          <w:rFonts w:eastAsia="Calibri"/>
        </w:rPr>
        <w:t xml:space="preserve"> Orgánico (P</w:t>
      </w:r>
      <w:r w:rsidR="00F6655F">
        <w:rPr>
          <w:rFonts w:eastAsia="Calibri"/>
        </w:rPr>
        <w:t>S</w:t>
      </w:r>
      <w:r w:rsidRPr="227E1361">
        <w:rPr>
          <w:rFonts w:eastAsia="Calibri"/>
        </w:rPr>
        <w:t>O) que detalle la gestión de una operación de cultivo, ganadería, cosecha silvestre, procesamiento o manejo orgánicos. El P</w:t>
      </w:r>
      <w:r w:rsidR="00F6655F">
        <w:rPr>
          <w:rFonts w:eastAsia="Calibri"/>
        </w:rPr>
        <w:t>S</w:t>
      </w:r>
      <w:r w:rsidRPr="227E1361">
        <w:rPr>
          <w:rFonts w:eastAsia="Calibri"/>
        </w:rPr>
        <w:t>O describe el sistema de gestión utilizado por la operación para cumplir con los estándares orgánicos para el alcance apropiado de la certificación. QCS puede aceptar Planes de Manejo Orgánico completos proporcionados por otros certificadores acreditados, evaluados caso por caso.</w:t>
      </w:r>
    </w:p>
    <w:p w14:paraId="70B2DE7D" w14:textId="55C4EB0E" w:rsidR="00E03BDD" w:rsidRPr="00BF7ECB" w:rsidRDefault="227E1361" w:rsidP="00BF7ECB">
      <w:pPr>
        <w:pStyle w:val="Heading3"/>
      </w:pPr>
      <w:r w:rsidRPr="00BF7ECB">
        <w:t>Un sistema de producción orgánica está diseñado para</w:t>
      </w:r>
    </w:p>
    <w:p w14:paraId="190E5ADF" w14:textId="3E4ED2D1" w:rsidR="00E03BDD" w:rsidRPr="008C174C" w:rsidRDefault="227E1361" w:rsidP="002735CF">
      <w:pPr>
        <w:pStyle w:val="ListParagraph"/>
        <w:numPr>
          <w:ilvl w:val="0"/>
          <w:numId w:val="26"/>
        </w:numPr>
        <w:ind w:left="360"/>
        <w:rPr>
          <w:lang w:val="es-419"/>
        </w:rPr>
      </w:pPr>
      <w:r w:rsidRPr="227E1361">
        <w:t>Maximizar la actividad biológica en el suelo;</w:t>
      </w:r>
    </w:p>
    <w:p w14:paraId="56C0E16C" w14:textId="463D7218" w:rsidR="00E03BDD" w:rsidRPr="008C174C" w:rsidRDefault="227E1361" w:rsidP="002735CF">
      <w:pPr>
        <w:pStyle w:val="ListParagraph"/>
        <w:numPr>
          <w:ilvl w:val="0"/>
          <w:numId w:val="26"/>
        </w:numPr>
        <w:ind w:left="360"/>
        <w:rPr>
          <w:lang w:val="es-419"/>
        </w:rPr>
      </w:pPr>
      <w:r w:rsidRPr="227E1361">
        <w:t>Mantener la fertilidad del suelo a largo plazo;</w:t>
      </w:r>
    </w:p>
    <w:p w14:paraId="4094BFDB" w14:textId="193FE04F" w:rsidR="00E03BDD" w:rsidRPr="008C174C" w:rsidRDefault="227E1361" w:rsidP="002735CF">
      <w:pPr>
        <w:pStyle w:val="ListParagraph"/>
        <w:numPr>
          <w:ilvl w:val="0"/>
          <w:numId w:val="26"/>
        </w:numPr>
        <w:ind w:left="360"/>
        <w:rPr>
          <w:lang w:val="es-419"/>
        </w:rPr>
      </w:pPr>
      <w:r w:rsidRPr="227E1361">
        <w:t>Minimizar la erosión del suelo;</w:t>
      </w:r>
    </w:p>
    <w:p w14:paraId="2591034F" w14:textId="428D035A" w:rsidR="00E03BDD" w:rsidRPr="008C174C" w:rsidRDefault="227E1361" w:rsidP="002735CF">
      <w:pPr>
        <w:pStyle w:val="ListParagraph"/>
        <w:numPr>
          <w:ilvl w:val="0"/>
          <w:numId w:val="26"/>
        </w:numPr>
        <w:ind w:left="360"/>
        <w:rPr>
          <w:lang w:val="es-419"/>
        </w:rPr>
      </w:pPr>
      <w:r w:rsidRPr="227E1361">
        <w:t>Mantener o mejorar la diversidad genética y biológica del sistema de producción y sus alrededores;</w:t>
      </w:r>
    </w:p>
    <w:p w14:paraId="4738C3DE" w14:textId="36C66691" w:rsidR="00E03BDD" w:rsidRPr="008C174C" w:rsidRDefault="227E1361" w:rsidP="002735CF">
      <w:pPr>
        <w:pStyle w:val="ListParagraph"/>
        <w:numPr>
          <w:ilvl w:val="0"/>
          <w:numId w:val="26"/>
        </w:numPr>
        <w:ind w:left="360"/>
        <w:rPr>
          <w:lang w:val="es-419"/>
        </w:rPr>
      </w:pPr>
      <w:r w:rsidRPr="227E1361">
        <w:t>Proporcionar al ganado condiciones de vida óptimas para la salud y el bienestar;</w:t>
      </w:r>
    </w:p>
    <w:p w14:paraId="67BEF124" w14:textId="74599E77" w:rsidR="00E03BDD" w:rsidRPr="008C174C" w:rsidRDefault="227E1361" w:rsidP="002735CF">
      <w:pPr>
        <w:pStyle w:val="ListParagraph"/>
        <w:numPr>
          <w:ilvl w:val="0"/>
          <w:numId w:val="26"/>
        </w:numPr>
        <w:ind w:left="360"/>
        <w:rPr>
          <w:lang w:val="es-419"/>
        </w:rPr>
      </w:pPr>
      <w:r w:rsidRPr="227E1361">
        <w:t>Utilizar recursos renovables en sistemas agrícolas de base bioregional;</w:t>
      </w:r>
    </w:p>
    <w:p w14:paraId="2335D596" w14:textId="2D213A9C" w:rsidR="00E03BDD" w:rsidRPr="008C174C" w:rsidRDefault="227E1361" w:rsidP="002735CF">
      <w:pPr>
        <w:pStyle w:val="ListParagraph"/>
        <w:numPr>
          <w:ilvl w:val="0"/>
          <w:numId w:val="26"/>
        </w:numPr>
        <w:ind w:left="360"/>
        <w:rPr>
          <w:lang w:val="es-419"/>
        </w:rPr>
      </w:pPr>
      <w:r w:rsidRPr="227E1361">
        <w:t>Reciclar materiales de origen vegetal y animal para devolver nutrientes a la tierra, minimizando así el uso de recursos no renovables;</w:t>
      </w:r>
    </w:p>
    <w:p w14:paraId="634F975C" w14:textId="6ED2446B" w:rsidR="00E03BDD" w:rsidRPr="008C174C" w:rsidRDefault="227E1361" w:rsidP="002735CF">
      <w:pPr>
        <w:pStyle w:val="ListParagraph"/>
        <w:numPr>
          <w:ilvl w:val="0"/>
          <w:numId w:val="26"/>
        </w:numPr>
        <w:ind w:left="360"/>
        <w:rPr>
          <w:lang w:val="es-419"/>
        </w:rPr>
      </w:pPr>
      <w:r w:rsidRPr="227E1361">
        <w:lastRenderedPageBreak/>
        <w:t>Promover el uso ambientalmente responsable del suelo, el agua y el aire, y minimizar la contaminación agrícola; y</w:t>
      </w:r>
    </w:p>
    <w:p w14:paraId="1C34ACBB" w14:textId="13979D3B" w:rsidR="004B6D08" w:rsidRPr="008C174C" w:rsidRDefault="227E1361" w:rsidP="002735CF">
      <w:pPr>
        <w:pStyle w:val="ListParagraph"/>
        <w:numPr>
          <w:ilvl w:val="0"/>
          <w:numId w:val="26"/>
        </w:numPr>
        <w:ind w:left="360"/>
        <w:rPr>
          <w:lang w:val="es-419"/>
        </w:rPr>
      </w:pPr>
      <w:r w:rsidRPr="227E1361">
        <w:t>Establecerse en una granja o campo existente a través de un período de conversión, diseñado para permitir que el sistema agrícola se adapte a los métodos y materiales de producción orgánica.</w:t>
      </w:r>
    </w:p>
    <w:p w14:paraId="6455450B" w14:textId="73105CCC" w:rsidR="00CF204E" w:rsidRPr="00F91DD0" w:rsidRDefault="227E1361" w:rsidP="00E42B4B">
      <w:pPr>
        <w:pStyle w:val="Heading3"/>
        <w:rPr>
          <w:b w:val="0"/>
          <w:lang w:val="es-419"/>
        </w:rPr>
      </w:pPr>
      <w:r w:rsidRPr="227E1361">
        <w:t>Las prácticas de manejo orgánico se basan en los siguientes principios</w:t>
      </w:r>
    </w:p>
    <w:p w14:paraId="3CF85842" w14:textId="7F43D3A8" w:rsidR="00A23B48" w:rsidRPr="00C944BF" w:rsidRDefault="227E1361" w:rsidP="002735CF">
      <w:pPr>
        <w:pStyle w:val="ListParagraph"/>
        <w:numPr>
          <w:ilvl w:val="0"/>
          <w:numId w:val="27"/>
        </w:numPr>
        <w:rPr>
          <w:lang w:val="es-419"/>
        </w:rPr>
      </w:pPr>
      <w:r w:rsidRPr="227E1361">
        <w:t>Las entidades que procesan y manipulan productos orgánicos deben implementar buenas prácticas de producción, manipulación y transformación orgánicas para mantener la integridad de los productos orgánicos en todas las etapas de procesamiento, transporte y almacenamiento;</w:t>
      </w:r>
    </w:p>
    <w:p w14:paraId="1E5EA2DC" w14:textId="507D1B24" w:rsidR="00A23B48" w:rsidRPr="00C944BF" w:rsidRDefault="227E1361" w:rsidP="002735CF">
      <w:pPr>
        <w:pStyle w:val="ListParagraph"/>
        <w:numPr>
          <w:ilvl w:val="0"/>
          <w:numId w:val="27"/>
        </w:numPr>
        <w:rPr>
          <w:lang w:val="es-419"/>
        </w:rPr>
      </w:pPr>
      <w:r w:rsidRPr="227E1361">
        <w:t>Los productos orgánicos no deben mezclarse con productos no orgánicos, excepto cuando se combinan ingredientes orgánicos con no orgánicos específicamente permitidos por una norma aplicable;</w:t>
      </w:r>
    </w:p>
    <w:p w14:paraId="2F9AA552" w14:textId="4858A4D0" w:rsidR="00A23B48" w:rsidRPr="00C944BF" w:rsidRDefault="227E1361" w:rsidP="002735CF">
      <w:pPr>
        <w:pStyle w:val="ListParagraph"/>
        <w:numPr>
          <w:ilvl w:val="0"/>
          <w:numId w:val="27"/>
        </w:numPr>
        <w:rPr>
          <w:lang w:val="es-419"/>
        </w:rPr>
      </w:pPr>
      <w:r w:rsidRPr="227E1361">
        <w:t>Los productos orgánicos no deben entrar en contacto con materiales prohibidos;</w:t>
      </w:r>
    </w:p>
    <w:p w14:paraId="5AC4F4A2" w14:textId="2A052243" w:rsidR="00A23B48" w:rsidRPr="00C944BF" w:rsidRDefault="227E1361" w:rsidP="002735CF">
      <w:pPr>
        <w:pStyle w:val="ListParagraph"/>
        <w:numPr>
          <w:ilvl w:val="0"/>
          <w:numId w:val="27"/>
        </w:numPr>
        <w:rPr>
          <w:lang w:val="es-419"/>
        </w:rPr>
      </w:pPr>
      <w:r w:rsidRPr="227E1361">
        <w:t>Se deben mantener registros adecuados para demostrar que la integridad de los productos orgánicos está protegida;</w:t>
      </w:r>
    </w:p>
    <w:p w14:paraId="50E9CD62" w14:textId="532A9758" w:rsidR="00A23B48" w:rsidRPr="00C944BF" w:rsidRDefault="227E1361" w:rsidP="002735CF">
      <w:pPr>
        <w:pStyle w:val="ListParagraph"/>
        <w:numPr>
          <w:ilvl w:val="0"/>
          <w:numId w:val="27"/>
        </w:numPr>
        <w:rPr>
          <w:lang w:val="es-419"/>
        </w:rPr>
      </w:pPr>
      <w:r w:rsidRPr="227E1361">
        <w:t>Los productos orgánicos deben manejarse con énfasis en métodos de procesamiento cuidadosos con el objetivo de mantener la integridad y calidad de los productos; y</w:t>
      </w:r>
    </w:p>
    <w:p w14:paraId="5A09040D" w14:textId="0BB791EA" w:rsidR="00A43510" w:rsidRPr="00C944BF" w:rsidRDefault="227E1361" w:rsidP="002735CF">
      <w:pPr>
        <w:pStyle w:val="ListParagraph"/>
        <w:numPr>
          <w:ilvl w:val="0"/>
          <w:numId w:val="27"/>
        </w:numPr>
        <w:rPr>
          <w:lang w:val="es-419"/>
        </w:rPr>
      </w:pPr>
      <w:r w:rsidRPr="227E1361">
        <w:t xml:space="preserve">Las prácticas de manejo ecológicamente racionales deben ser un objetivo de las operaciones de manejo orgánico. Se deben hacer esfuerzos para reducir el embalaje, utilizar materiales reciclados y reducir las emisiones sólidas, líquidas y en el </w:t>
      </w:r>
      <w:r w:rsidRPr="00FE7F19">
        <w:t>aéreas p</w:t>
      </w:r>
      <w:r w:rsidRPr="227E1361">
        <w:t>roducidas por las operaciones de manipulación.</w:t>
      </w:r>
    </w:p>
    <w:p w14:paraId="78D80EB4" w14:textId="39A04853" w:rsidR="00CF204E" w:rsidRPr="00F91DD0" w:rsidRDefault="227E1361" w:rsidP="007E3B9C">
      <w:pPr>
        <w:pStyle w:val="Heading3"/>
        <w:rPr>
          <w:b w:val="0"/>
          <w:lang w:val="es-419"/>
        </w:rPr>
      </w:pPr>
      <w:r w:rsidRPr="227E1361">
        <w:t>Las operaciones de producción y manipulación orgánicas deben cumplir con todas las leyes locales, estatales y federales aplicables y abordar adecuadamente las inquietudes de seguridad alimentaria</w:t>
      </w:r>
    </w:p>
    <w:p w14:paraId="375EC90F" w14:textId="61CBCAE0" w:rsidR="005E3609" w:rsidRPr="00C944BF" w:rsidRDefault="227E1361" w:rsidP="002735CF">
      <w:pPr>
        <w:pStyle w:val="ListParagraph"/>
        <w:numPr>
          <w:ilvl w:val="0"/>
          <w:numId w:val="28"/>
        </w:numPr>
        <w:rPr>
          <w:lang w:val="es-419"/>
        </w:rPr>
      </w:pPr>
      <w:r w:rsidRPr="227E1361">
        <w:t>Los sistemas de certificación, producción y manejo orgánicos sirven para educar a los consumidores sobre la fuente, la calidad y el contenido de los alimentos y productos orgánicos. Las etiquetas de los productos deben ser veraces con respecto al nombre y contenido del producto.</w:t>
      </w:r>
    </w:p>
    <w:p w14:paraId="4A541AFE" w14:textId="7308D68D" w:rsidR="005E3609" w:rsidRPr="00C944BF" w:rsidRDefault="227E1361" w:rsidP="002735CF">
      <w:pPr>
        <w:pStyle w:val="ListParagraph"/>
        <w:numPr>
          <w:ilvl w:val="0"/>
          <w:numId w:val="28"/>
        </w:numPr>
        <w:rPr>
          <w:lang w:val="es-419"/>
        </w:rPr>
      </w:pPr>
      <w:r w:rsidRPr="227E1361">
        <w:t>Los organismos genéticamente modificados (OGM) o productos producidos por o mediante el uso de dichos organismos, no son compatibles con los principios de producción orgánica (ya sea cultivo, manipulación o procesamiento) y no están permitidos bajo estas normas.</w:t>
      </w:r>
    </w:p>
    <w:p w14:paraId="601A428C" w14:textId="5117C42B" w:rsidR="00CF204E" w:rsidRPr="00C944BF" w:rsidRDefault="227E1361" w:rsidP="002735CF">
      <w:pPr>
        <w:pStyle w:val="ListParagraph"/>
        <w:numPr>
          <w:ilvl w:val="0"/>
          <w:numId w:val="28"/>
        </w:numPr>
        <w:rPr>
          <w:lang w:val="es-419"/>
        </w:rPr>
      </w:pPr>
      <w:r w:rsidRPr="227E1361">
        <w:t>Las normas orgánicas no permiten el uso de materiales sintéticos como fertilizantes sintéticos, pesticidas y organismos genéticamente modificados, excepto aquellos específicamente permitidos por las normas aplicables. Las normas orgánicas no pueden garantizar que los productos orgánicos estén completamente libres de tales residuos o contaminantes, debido a los niveles de fondo de contaminantes ambientales.</w:t>
      </w:r>
    </w:p>
    <w:p w14:paraId="1626C251" w14:textId="2000A64A" w:rsidR="00CF204E" w:rsidRPr="00F91DD0" w:rsidRDefault="227E1361" w:rsidP="007E3B9C">
      <w:pPr>
        <w:pStyle w:val="Heading2"/>
        <w:rPr>
          <w:lang w:val="es-419"/>
        </w:rPr>
      </w:pPr>
      <w:r w:rsidRPr="227E1361">
        <w:t>Principios de Certificación Orgánica</w:t>
      </w:r>
    </w:p>
    <w:p w14:paraId="67F956BE" w14:textId="5484865D" w:rsidR="00CF204E" w:rsidRPr="00F91DD0" w:rsidRDefault="227E1361" w:rsidP="00C944BF">
      <w:pPr>
        <w:rPr>
          <w:lang w:val="es-419"/>
        </w:rPr>
      </w:pPr>
      <w:r w:rsidRPr="227E1361">
        <w:t>Quality Certification Services (QCS)</w:t>
      </w:r>
      <w:r>
        <w:t xml:space="preserve"> </w:t>
      </w:r>
      <w:r w:rsidRPr="227E1361">
        <w:t xml:space="preserve">proporcionan certificación como tercero imparcial de la producción y manipulación/procesamiento orgánico. QCS es el organismo de certificación del Florida Certified Organic Growers and Consumers, Inc. (FOG). FOG es una organización de membresía de base sin fines de lucro comprometida con la producción ambientalmente racional de alimentos y la preservación de los recursos </w:t>
      </w:r>
      <w:r w:rsidRPr="227E1361">
        <w:lastRenderedPageBreak/>
        <w:t>naturales, y la mejora de la calidad y la salud del suelo a través de prácticas agrícolas orgánicas y sostenibles. QCS es un programa de certificación sin fines de lucro desarrollado en respuesta a los requisitos cambiantes del mercado y la naturaleza reguladora de la certificación orgánica.</w:t>
      </w:r>
    </w:p>
    <w:p w14:paraId="0C54D4BA" w14:textId="2C7D47C6" w:rsidR="002847DB" w:rsidRPr="00F91DD0" w:rsidRDefault="227E1361" w:rsidP="00C944BF">
      <w:pPr>
        <w:rPr>
          <w:rFonts w:eastAsia="Calibri"/>
          <w:lang w:val="es-419"/>
        </w:rPr>
      </w:pPr>
      <w:r w:rsidRPr="227E1361">
        <w:rPr>
          <w:rFonts w:eastAsia="Calibri"/>
        </w:rPr>
        <w:t>QCS se compromete a proporcionar una dirección clara y servicios de certificación de calidad a sus clientes y constituyentes de la industria de alimentos orgánicos. Este Manual de Certificación Orgánica contiene las políticas y procedimientos para aquellos que buscan reconocimiento orgánico o verificaciones relacionadas con alimentos, y / u otras verificaciones ofrecidas por QCS para facilitar el comercio internacional.</w:t>
      </w:r>
    </w:p>
    <w:p w14:paraId="16D7DCB6" w14:textId="77777777" w:rsidR="00F54054" w:rsidRPr="00F91DD0" w:rsidRDefault="227E1361" w:rsidP="00C944BF">
      <w:pPr>
        <w:rPr>
          <w:rFonts w:eastAsia="Calibri"/>
          <w:lang w:val="es-419"/>
        </w:rPr>
      </w:pPr>
      <w:r w:rsidRPr="227E1361">
        <w:rPr>
          <w:rFonts w:eastAsia="Calibri"/>
        </w:rPr>
        <w:t xml:space="preserve">El propósito del Manual de Certificación es proporcionar una base de comunicación entre los clientes y QCS, una guía de los requisitos de certificación para programas de certificación orgánica, una descripción general de los estándares y una explicación de las tarifas por los servicios de QCS. </w:t>
      </w:r>
      <w:bookmarkStart w:id="6" w:name="_Toc277166671"/>
    </w:p>
    <w:p w14:paraId="3B87A061" w14:textId="39361C0C" w:rsidR="00F01DFD" w:rsidRDefault="00F01DFD" w:rsidP="00337BBD">
      <w:pPr>
        <w:rPr>
          <w:rFonts w:eastAsia="Calibri"/>
          <w:lang w:val="es-419"/>
        </w:rPr>
      </w:pPr>
      <w:r>
        <w:rPr>
          <w:rFonts w:eastAsia="Calibri"/>
          <w:lang w:val="es-419"/>
        </w:rPr>
        <w:br w:type="page"/>
      </w:r>
    </w:p>
    <w:p w14:paraId="6112C5CA" w14:textId="1C656306" w:rsidR="00CF204E" w:rsidRPr="00F91DD0" w:rsidRDefault="227E1361" w:rsidP="00337BBD">
      <w:pPr>
        <w:pStyle w:val="Heading1"/>
        <w:spacing w:before="0" w:after="240" w:line="240" w:lineRule="auto"/>
        <w:rPr>
          <w:b w:val="0"/>
          <w:bCs/>
          <w:szCs w:val="40"/>
          <w:lang w:val="es-419"/>
        </w:rPr>
      </w:pPr>
      <w:bookmarkStart w:id="7" w:name="_Toc424898846"/>
      <w:bookmarkStart w:id="8" w:name="_Toc474161815"/>
      <w:bookmarkStart w:id="9" w:name="_Toc474161841"/>
      <w:bookmarkStart w:id="10" w:name="_Toc500935015"/>
      <w:bookmarkStart w:id="11" w:name="_Toc159414639"/>
      <w:r w:rsidRPr="227E1361">
        <w:rPr>
          <w:szCs w:val="40"/>
        </w:rPr>
        <w:lastRenderedPageBreak/>
        <w:t>02 D</w:t>
      </w:r>
      <w:bookmarkEnd w:id="7"/>
      <w:bookmarkEnd w:id="8"/>
      <w:bookmarkEnd w:id="9"/>
      <w:bookmarkEnd w:id="10"/>
      <w:r w:rsidRPr="227E1361">
        <w:rPr>
          <w:szCs w:val="40"/>
        </w:rPr>
        <w:t>isposiciones Generales</w:t>
      </w:r>
      <w:bookmarkEnd w:id="6"/>
      <w:bookmarkEnd w:id="11"/>
    </w:p>
    <w:p w14:paraId="283AC02F" w14:textId="229EFB26" w:rsidR="00CF204E" w:rsidRPr="00F91DD0" w:rsidRDefault="227E1361" w:rsidP="007E3B9C">
      <w:pPr>
        <w:pStyle w:val="Heading2"/>
        <w:rPr>
          <w:lang w:val="es-419"/>
        </w:rPr>
      </w:pPr>
      <w:r w:rsidRPr="227E1361">
        <w:t>Disposición QCS</w:t>
      </w:r>
    </w:p>
    <w:p w14:paraId="70EB90D4" w14:textId="5C241B04" w:rsidR="00CF204E" w:rsidRPr="00F91DD0" w:rsidRDefault="227E1361" w:rsidP="00337BBD">
      <w:pPr>
        <w:spacing w:line="240" w:lineRule="auto"/>
        <w:rPr>
          <w:rFonts w:eastAsia="Calibri"/>
        </w:rPr>
      </w:pPr>
      <w:r w:rsidRPr="227E1361">
        <w:rPr>
          <w:rFonts w:eastAsia="Calibri"/>
        </w:rPr>
        <w:t xml:space="preserve">QCS ofrece certificación imparcial de terceros </w:t>
      </w:r>
      <w:r w:rsidR="00B17FE6" w:rsidRPr="227E1361">
        <w:rPr>
          <w:rFonts w:eastAsia="Calibri"/>
        </w:rPr>
        <w:t>adhiriéndose</w:t>
      </w:r>
      <w:r w:rsidRPr="227E1361">
        <w:rPr>
          <w:rFonts w:eastAsia="Calibri"/>
        </w:rPr>
        <w:t xml:space="preserve"> a las disposiciones de igualdad, objetividad, confidencialidad y transparencia. </w:t>
      </w:r>
    </w:p>
    <w:p w14:paraId="6DF1E4FC" w14:textId="355A51BD" w:rsidR="00AD3C7D" w:rsidRPr="00F91DD0" w:rsidRDefault="227E1361" w:rsidP="007E3B9C">
      <w:pPr>
        <w:pStyle w:val="Heading2"/>
        <w:rPr>
          <w:lang w:val="es-419"/>
        </w:rPr>
      </w:pPr>
      <w:r w:rsidRPr="227E1361">
        <w:t>Servicio de Certificación No Discriminatoria</w:t>
      </w:r>
    </w:p>
    <w:p w14:paraId="0E7B74A1" w14:textId="14467E0F" w:rsidR="004B2E75" w:rsidRPr="00F91DD0" w:rsidRDefault="227E1361" w:rsidP="00337BBD">
      <w:pPr>
        <w:rPr>
          <w:color w:val="000000"/>
          <w:lang w:val="es-419"/>
        </w:rPr>
      </w:pPr>
      <w:r w:rsidRPr="227E1361">
        <w:rPr>
          <w:color w:val="000000" w:themeColor="text1"/>
        </w:rPr>
        <w:t>QCS opera responsablemente un servicio de certificación no discriminatorio. QCS pone sus servicios a disposición de todos los solicitantes cuyas actividades se detallan en las Secciones 03 Categorías de Certificación y 04 Alcance de la Certificación. QCS no establece condiciones financieras o de otro tipo indebidas ni discrimina a los solicitantes en función del tamaño o tipo(s) de la</w:t>
      </w:r>
      <w:r w:rsidR="00B17FE6">
        <w:rPr>
          <w:color w:val="000000" w:themeColor="text1"/>
        </w:rPr>
        <w:t>(</w:t>
      </w:r>
      <w:r w:rsidRPr="227E1361">
        <w:rPr>
          <w:color w:val="000000" w:themeColor="text1"/>
        </w:rPr>
        <w:t>s</w:t>
      </w:r>
      <w:r w:rsidR="00B17FE6">
        <w:rPr>
          <w:color w:val="000000" w:themeColor="text1"/>
        </w:rPr>
        <w:t>)</w:t>
      </w:r>
      <w:r w:rsidRPr="227E1361">
        <w:rPr>
          <w:color w:val="000000" w:themeColor="text1"/>
        </w:rPr>
        <w:t xml:space="preserve"> operación(es).</w:t>
      </w:r>
    </w:p>
    <w:p w14:paraId="7597DB25" w14:textId="3D25B21E" w:rsidR="00AD3C7D" w:rsidRPr="00F91DD0" w:rsidRDefault="227E1361" w:rsidP="00337BBD">
      <w:pPr>
        <w:spacing w:line="240" w:lineRule="auto"/>
        <w:rPr>
          <w:rFonts w:eastAsia="Times New Roman"/>
        </w:rPr>
      </w:pPr>
      <w:bookmarkStart w:id="12" w:name="_Toc410655387"/>
      <w:bookmarkStart w:id="13" w:name="_Toc424898849"/>
      <w:bookmarkStart w:id="14" w:name="_Toc424899237"/>
      <w:r w:rsidRPr="227E1361">
        <w:rPr>
          <w:rFonts w:eastAsia="Times New Roman"/>
        </w:rPr>
        <w:t>QCS otorga la certificación únicamente basada en el cumplimiento relacionado con el esquema y alcance de la certificación que se está considerando. QCS no certifica ni emite condiciones a sus clientes en función del número de certificaciones ya emitidas, ni de ninguna de las afiliaciones y / o asociaciones de membresía de los clientes a industrias orgánicas y relacionadas con los alimentos. QCS no otorga ninguna consideración financiera u de otro tipo indebida a los clientes para obtener servicios de certificación.</w:t>
      </w:r>
    </w:p>
    <w:p w14:paraId="65A5DA14" w14:textId="090D9FA7" w:rsidR="00B147D1" w:rsidRPr="00F91DD0" w:rsidRDefault="227E1361" w:rsidP="00337BBD">
      <w:pPr>
        <w:rPr>
          <w:rFonts w:eastAsia="Times New Roman"/>
          <w:lang w:val="es-419"/>
        </w:rPr>
      </w:pPr>
      <w:r w:rsidRPr="227E1361">
        <w:rPr>
          <w:rFonts w:eastAsia="Times New Roman"/>
        </w:rPr>
        <w:t>Los servicios de QCS también están diseñados para no discriminar a ningún miembro por motivos de raza, credo, religión, estado civil, sexo, ascendencia, edad u origen nacional, y se administran de manera no discriminatoria, lo que no impide o inhibe a los solicitantes acceso a los servicios de certificación de QCS.</w:t>
      </w:r>
    </w:p>
    <w:bookmarkEnd w:id="12"/>
    <w:p w14:paraId="030ED182" w14:textId="3B3CF57C" w:rsidR="00B90EC4" w:rsidRPr="00F91DD0" w:rsidRDefault="227E1361" w:rsidP="007E3B9C">
      <w:pPr>
        <w:pStyle w:val="Heading2"/>
        <w:rPr>
          <w:i/>
          <w:iCs/>
          <w:lang w:val="es-419"/>
        </w:rPr>
      </w:pPr>
      <w:r w:rsidRPr="227E1361">
        <w:t>Salvaguardar la imparcialidad</w:t>
      </w:r>
    </w:p>
    <w:p w14:paraId="2FFA68D9" w14:textId="2583451C" w:rsidR="001F03FE" w:rsidRPr="00F91DD0" w:rsidRDefault="227E1361" w:rsidP="00337BBD">
      <w:pPr>
        <w:rPr>
          <w:lang w:val="es-419"/>
        </w:rPr>
      </w:pPr>
      <w:r>
        <w:t>QCS reconoce que existen varios riesgos para la imparcialidad de la certificación. Pueden surgir</w:t>
      </w:r>
      <w:r w:rsidRPr="227E1361">
        <w:rPr>
          <w:rFonts w:ascii="Calibri" w:eastAsia="Calibri" w:hAnsi="Calibri" w:cs="Calibri"/>
        </w:rPr>
        <w:t xml:space="preserve"> conflictos</w:t>
      </w:r>
      <w:r>
        <w:t xml:space="preserve"> de sus relaciones, actividades y personas conectadas responsablemente con el proceso de certificación. Para evitar que surjan riesgos que causen conflictos con la objetividad, QCS cuenta con sistemas preventivos para salvaguardar la imparcialidad.</w:t>
      </w:r>
    </w:p>
    <w:p w14:paraId="4C54229A" w14:textId="07B019F2" w:rsidR="005C1CFE" w:rsidRPr="00F91DD0" w:rsidRDefault="227E1361" w:rsidP="007E3B9C">
      <w:pPr>
        <w:pStyle w:val="Heading3"/>
        <w:rPr>
          <w:b w:val="0"/>
          <w:lang w:val="es-419"/>
        </w:rPr>
      </w:pPr>
      <w:r w:rsidRPr="227E1361">
        <w:t>Riesgo por tipo(s) de servicio(s) y alcance(s) ofrecido por QCS</w:t>
      </w:r>
    </w:p>
    <w:p w14:paraId="6316C493" w14:textId="61B6E071" w:rsidR="00B147D1" w:rsidRPr="00F91DD0" w:rsidRDefault="227E1361" w:rsidP="00337BBD">
      <w:r>
        <w:t>QCS proporciona solo los servicios descritos en este manual. QCS no puede diseñar, producir, operar, instalar, suministrar, distribuir productos, procesar y proporcionar servicios del tipo(s) que certifica. QCS no proporciona productos o ser</w:t>
      </w:r>
      <w:r w:rsidRPr="00FE7F19">
        <w:t>vicios que puedan comprometer la confidencialidad, objetividad o imparcialidad de sus procesos de certificación. QCS se compromete a permanecer libre de presiones comerciales, financieras u otras que puedan influir en los resultados del pr</w:t>
      </w:r>
      <w:r w:rsidR="00C1543F">
        <w:t>o</w:t>
      </w:r>
      <w:r w:rsidRPr="00FE7F19">
        <w:t>ceso de certificación. Como tal, QCS no proporciona servicios de consulta a sus solicitantes o clientes certificados,</w:t>
      </w:r>
      <w:r w:rsidR="00C2598D">
        <w:t xml:space="preserve"> </w:t>
      </w:r>
      <w:r w:rsidRPr="00FE7F19">
        <w:t xml:space="preserve">relacionados con asuntos que traten barreras para superar la certificación; ni QCS implica que la certificación sería más simple, más fácil, más rápida o menos costosa si se utilizara una organización de consultoría específica. QCS puede dirigir a los solicitantes a recursos sobre buenas prácticas agrícolas para la producción y el manejo, y puede responder preguntas sobre cómo se interpretan o aplican las normas. </w:t>
      </w:r>
    </w:p>
    <w:p w14:paraId="0FE97713" w14:textId="57507505" w:rsidR="00DC3F4E" w:rsidRPr="00F91DD0" w:rsidRDefault="227E1361" w:rsidP="007E3B9C">
      <w:pPr>
        <w:pStyle w:val="Heading3"/>
        <w:rPr>
          <w:b w:val="0"/>
          <w:lang w:val="es-419"/>
        </w:rPr>
      </w:pPr>
      <w:r w:rsidRPr="227E1361">
        <w:t>Riesgo por tipo(s) de servicios y alcance(s) ofrecidos por FOG (entidad relacionada)</w:t>
      </w:r>
    </w:p>
    <w:p w14:paraId="2D2A558E" w14:textId="445B2A3F" w:rsidR="00B147D1" w:rsidRPr="00F91DD0" w:rsidRDefault="227E1361" w:rsidP="00337BBD">
      <w:pPr>
        <w:rPr>
          <w:lang w:val="es-419"/>
        </w:rPr>
      </w:pPr>
      <w:r>
        <w:t xml:space="preserve">FOG proporciona recursos educativos y de </w:t>
      </w:r>
      <w:r w:rsidR="000B7E2E">
        <w:t>mercadeo</w:t>
      </w:r>
      <w:r>
        <w:t xml:space="preserve"> que están disponibles para el público y no personalizados para un operador específico. FOG también puede dirigir a los solicitantes de QCS a recursos sobre buenas prácticas agrícolas para la producción y manejo. </w:t>
      </w:r>
    </w:p>
    <w:p w14:paraId="5DD3F24D" w14:textId="77777777" w:rsidR="004B20FB" w:rsidRPr="00F91DD0" w:rsidRDefault="227E1361" w:rsidP="00337BBD">
      <w:pPr>
        <w:rPr>
          <w:lang w:val="es-419"/>
        </w:rPr>
      </w:pPr>
      <w:r>
        <w:lastRenderedPageBreak/>
        <w:t>FOG se esfuerza por apoyar y mantener las disposiciones de QCS al proporcionar productos o servicios que no comprometerían la confidencialidad, objetividad o imparcialidad de la certificación QCS. Los servicios FOG evitan la imparcialidad al:</w:t>
      </w:r>
    </w:p>
    <w:p w14:paraId="27035B74" w14:textId="0BBF1C9C" w:rsidR="004B20FB" w:rsidRPr="00F91DD0" w:rsidRDefault="227E1361" w:rsidP="00A44F04">
      <w:pPr>
        <w:ind w:left="360" w:hanging="360"/>
        <w:rPr>
          <w:lang w:val="es-419"/>
        </w:rPr>
      </w:pPr>
      <w:r>
        <w:t>•</w:t>
      </w:r>
      <w:r w:rsidR="004B20FB">
        <w:tab/>
      </w:r>
      <w:r>
        <w:t>No diseñar, producir, operar, instalar, suministrar, distribuir productos, procesos y servicios del tipo que QCS certifica.</w:t>
      </w:r>
    </w:p>
    <w:p w14:paraId="46D835B3" w14:textId="3DB938BB" w:rsidR="004B20FB" w:rsidRPr="00F91DD0" w:rsidRDefault="227E1361" w:rsidP="00A44F04">
      <w:pPr>
        <w:ind w:left="360" w:hanging="360"/>
        <w:rPr>
          <w:lang w:val="es-419"/>
        </w:rPr>
      </w:pPr>
      <w:r>
        <w:t>•</w:t>
      </w:r>
      <w:r w:rsidR="004B20FB">
        <w:tab/>
      </w:r>
      <w:r>
        <w:t>No tener una influencia directa o autoridad para ejercer presión sobre el proceso de certificación QCS.</w:t>
      </w:r>
    </w:p>
    <w:p w14:paraId="6F90F595" w14:textId="05C23049" w:rsidR="004B20FB" w:rsidRPr="00F91DD0" w:rsidRDefault="227E1361" w:rsidP="00A44F04">
      <w:pPr>
        <w:spacing w:line="240" w:lineRule="auto"/>
        <w:ind w:left="360" w:hanging="360"/>
      </w:pPr>
      <w:r>
        <w:t>•</w:t>
      </w:r>
      <w:r w:rsidR="004B20FB">
        <w:tab/>
      </w:r>
      <w:r>
        <w:t>No proporcionar servicios de consultoría a los solicitantes de QCS o clientes certificados, en relacionados con asuntos que traten barreras para superar la certificación.</w:t>
      </w:r>
    </w:p>
    <w:p w14:paraId="272A4200" w14:textId="05C3058A" w:rsidR="004B20FB" w:rsidRPr="00F91DD0" w:rsidRDefault="227E1361" w:rsidP="00A44F04">
      <w:pPr>
        <w:ind w:left="360" w:hanging="360"/>
        <w:rPr>
          <w:lang w:val="es-419"/>
        </w:rPr>
      </w:pPr>
      <w:r>
        <w:t>•</w:t>
      </w:r>
      <w:r w:rsidR="004B20FB">
        <w:tab/>
      </w:r>
      <w:r>
        <w:t xml:space="preserve">No comercializar u ofrecer vinculados con las actividades de una organización que brinda </w:t>
      </w:r>
      <w:r w:rsidR="00C70A55">
        <w:t>consultorías</w:t>
      </w:r>
      <w:r>
        <w:t>.</w:t>
      </w:r>
    </w:p>
    <w:p w14:paraId="20384980" w14:textId="25B82845" w:rsidR="00B147D1" w:rsidRPr="00F91DD0" w:rsidRDefault="227E1361" w:rsidP="00A44F04">
      <w:pPr>
        <w:ind w:left="360" w:hanging="360"/>
        <w:rPr>
          <w:lang w:val="es-419"/>
        </w:rPr>
      </w:pPr>
      <w:r>
        <w:t>•</w:t>
      </w:r>
      <w:r w:rsidR="004B20FB">
        <w:tab/>
      </w:r>
      <w:r>
        <w:t>No declarar o implicar que la certificación sería más simple, más fácil, más rápida o menos costosa si se utilizara una organización de consultoría específica.</w:t>
      </w:r>
    </w:p>
    <w:p w14:paraId="2A686EEB" w14:textId="5B3A4818" w:rsidR="00B147D1" w:rsidRPr="00F91DD0" w:rsidRDefault="227E1361" w:rsidP="00337BBD">
      <w:pPr>
        <w:tabs>
          <w:tab w:val="left" w:pos="450"/>
        </w:tabs>
        <w:spacing w:line="240" w:lineRule="auto"/>
      </w:pPr>
      <w:r>
        <w:t xml:space="preserve">Si FOG ofreciera o produjera el producto certificado (incluidos los productos a certificar), u ofreciera o </w:t>
      </w:r>
      <w:r w:rsidR="00C70A55">
        <w:t>brindaría</w:t>
      </w:r>
      <w:r>
        <w:t xml:space="preserve"> consultoría, la administración de QCS, el personal que evalúa (inspección y revisión) y los que toman decisiones de certificación no debe participar en las actividades de FOG. Asimismo, el personal de FOG no está involucrado en la gestión de QCS, la evaluación o la decisión de certificación. La consultoría del personal de FOG debe estar bien registrada, disponible a solicitud de QCS y el personal involucrado debe haber aceptado los requisitos de confidencialidad e imparcialidad.</w:t>
      </w:r>
    </w:p>
    <w:p w14:paraId="1581D193" w14:textId="0DBCAD39" w:rsidR="00B147D1" w:rsidRPr="00F91DD0" w:rsidRDefault="227E1361" w:rsidP="00337BBD">
      <w:pPr>
        <w:rPr>
          <w:lang w:val="es-419"/>
        </w:rPr>
      </w:pPr>
      <w:r>
        <w:t>Como FOG es una organización sin fines de lucro, a veces se realizan donaciones de productos y efectivo para programas educativos, talleres e iniciativas basadas en proyectos. El personal del programa QCS no solicita donaciones de entidades certificadas o solicitantes de certificación. El programa QCS no puede aceptar donaciones de entidades certificadas o solicitantes de certificación. Si un revisor de certificación ha escrito previamente una carta para solicitar una donación de una entidad certificada o un solicitante de certificación, dicho Revisor de Certificación no revisa la solicitud o renovaci</w:t>
      </w:r>
      <w:r w:rsidRPr="227E1361">
        <w:t>ó</w:t>
      </w:r>
      <w:r>
        <w:t>n de esa entidad para evitar cualquier posible conflicto de inter</w:t>
      </w:r>
      <w:r w:rsidRPr="227E1361">
        <w:t>é</w:t>
      </w:r>
      <w:r>
        <w:t xml:space="preserve">s. El Contador, el </w:t>
      </w:r>
      <w:proofErr w:type="gramStart"/>
      <w:r>
        <w:t>Director Ejecutivo</w:t>
      </w:r>
      <w:proofErr w:type="gramEnd"/>
      <w:r>
        <w:t xml:space="preserve"> y el Gerente de Oficina son el único personal que debe saber qué donaciones se reciben y de quién se reciben las donaciones.</w:t>
      </w:r>
    </w:p>
    <w:p w14:paraId="60A31FAB" w14:textId="354992DB" w:rsidR="009A0A2F" w:rsidRPr="00F91DD0" w:rsidRDefault="227E1361" w:rsidP="00266915">
      <w:pPr>
        <w:pStyle w:val="Heading3"/>
        <w:rPr>
          <w:b w:val="0"/>
          <w:lang w:val="es-419"/>
        </w:rPr>
      </w:pPr>
      <w:r w:rsidRPr="227E1361">
        <w:t>Riesgos de los programas y servicios de certificación QCS</w:t>
      </w:r>
    </w:p>
    <w:p w14:paraId="3DE69688" w14:textId="1A4E2CB1" w:rsidR="00B147D1" w:rsidRPr="00F91DD0" w:rsidRDefault="227E1361" w:rsidP="00337BBD">
      <w:pPr>
        <w:rPr>
          <w:lang w:val="es-419"/>
        </w:rPr>
      </w:pPr>
      <w:r>
        <w:t>QCS asume toda la responsabilidad de otorgar, mantener, extender, suspender o retirar la certificación, particularmente con respecto a las decisiones sobre certificación, considerando apelaciones y manejo de querellas y disputas. QCS puede contratar servicios de evaluación a inspectores o revisores de contratos y puede subcontratar servicios de prueba a laboratorios aprobados.</w:t>
      </w:r>
    </w:p>
    <w:p w14:paraId="27C55FC4" w14:textId="161CDC15" w:rsidR="00B147D1" w:rsidRPr="00F91DD0" w:rsidRDefault="227E1361" w:rsidP="00337BBD">
      <w:pPr>
        <w:rPr>
          <w:lang w:val="es-419"/>
        </w:rPr>
      </w:pPr>
      <w:r>
        <w:t>En todos los niveles de QCS, se toman disposiciones para mantener la independencia y evitar conflictos de intereses.</w:t>
      </w:r>
      <w:r w:rsidR="00C2598D">
        <w:t xml:space="preserve"> </w:t>
      </w:r>
    </w:p>
    <w:p w14:paraId="59F79E38" w14:textId="14864350" w:rsidR="00B147D1" w:rsidRPr="00F91DD0" w:rsidRDefault="005E2072" w:rsidP="002735CF">
      <w:pPr>
        <w:pStyle w:val="ListParagraph"/>
        <w:numPr>
          <w:ilvl w:val="0"/>
          <w:numId w:val="10"/>
        </w:numPr>
        <w:ind w:left="360"/>
        <w:rPr>
          <w:lang w:val="es-419"/>
        </w:rPr>
      </w:pPr>
      <w:r w:rsidRPr="00F91DD0">
        <w:rPr>
          <w:kern w:val="16"/>
          <w:lang w:val="es-419"/>
        </w:rPr>
        <w:t xml:space="preserve">El método principal de QCS para evitar que ocurra un conflicto de intereses es requerir que todas las personas se conecten responsablemente a los servicios de certificación de QCS; incluidos miembros de la Junta, miembros del comité, personal, contratistas y subcontratistas, para completar anualmente una divulgación de conflictos de intereses. La </w:t>
      </w:r>
      <w:r w:rsidR="227E1361">
        <w:t>divulgación de conflicto de intereses</w:t>
      </w:r>
      <w:r w:rsidRPr="00F91DD0">
        <w:rPr>
          <w:kern w:val="16"/>
          <w:lang w:val="es-419"/>
        </w:rPr>
        <w:t xml:space="preserve"> describe el compromiso con la objetividad y por el cual las personas d</w:t>
      </w:r>
      <w:r w:rsidR="007C458A" w:rsidRPr="00F91DD0">
        <w:rPr>
          <w:kern w:val="16"/>
          <w:lang w:val="es-419"/>
        </w:rPr>
        <w:t>eclaran</w:t>
      </w:r>
      <w:r w:rsidRPr="00F91DD0">
        <w:rPr>
          <w:kern w:val="16"/>
          <w:lang w:val="es-419"/>
        </w:rPr>
        <w:t xml:space="preserve"> cualquier conflicto percibido que pueda afectar directamente la objetividad de la certificación de una operación (</w:t>
      </w:r>
      <w:r w:rsidR="007C458A" w:rsidRPr="00F91DD0">
        <w:rPr>
          <w:kern w:val="16"/>
          <w:lang w:val="es-419"/>
        </w:rPr>
        <w:t xml:space="preserve">de tipo </w:t>
      </w:r>
      <w:r w:rsidRPr="00F91DD0">
        <w:rPr>
          <w:kern w:val="16"/>
          <w:lang w:val="es-419"/>
        </w:rPr>
        <w:t xml:space="preserve">comercial, financiera, familiar o de relación, u otras presiones que podrían percibirse como comprometiendo la imparcialidad, incluyendo cualquier consulta brindada en los últimos 24 meses a una operación). Además, cualquier sesgo que pueda crear indirectamente un conflicto (por ejemplo, familiaridad, </w:t>
      </w:r>
      <w:r w:rsidRPr="00F91DD0">
        <w:rPr>
          <w:kern w:val="16"/>
          <w:lang w:val="es-419"/>
        </w:rPr>
        <w:lastRenderedPageBreak/>
        <w:t>presiones, defensa, intimidación, competencia) QCS revisa todas las declaraciones e identifica cualquier riesgo para la imparcialidad de su evaluación, revisión y certificación</w:t>
      </w:r>
      <w:r w:rsidR="00B147D1" w:rsidRPr="00F91DD0">
        <w:rPr>
          <w:color w:val="000000"/>
          <w:lang w:val="es-419"/>
        </w:rPr>
        <w:t xml:space="preserve">. </w:t>
      </w:r>
    </w:p>
    <w:p w14:paraId="61B8D194" w14:textId="1C53897F" w:rsidR="00A96DE4" w:rsidRPr="00F91DD0" w:rsidRDefault="227E1361" w:rsidP="002735CF">
      <w:pPr>
        <w:pStyle w:val="ListParagraph"/>
        <w:numPr>
          <w:ilvl w:val="0"/>
          <w:numId w:val="10"/>
        </w:numPr>
        <w:ind w:left="360"/>
        <w:rPr>
          <w:lang w:val="es-419"/>
        </w:rPr>
      </w:pPr>
      <w:r w:rsidRPr="00FE7F19">
        <w:t>Los empleados, inspectores, contratistas y otro personal no pueden aceptar pagos, obsequios o favores de ningún tipo,</w:t>
      </w:r>
      <w:r w:rsidR="00C2598D">
        <w:t xml:space="preserve"> </w:t>
      </w:r>
      <w:r w:rsidRPr="00FE7F19">
        <w:t>aparte de las tarifas prescritas, de cualquier negocio inspeccionado.</w:t>
      </w:r>
    </w:p>
    <w:p w14:paraId="70E7B006" w14:textId="0080E71A" w:rsidR="00B147D1" w:rsidRPr="00F91DD0" w:rsidRDefault="227E1361" w:rsidP="002735CF">
      <w:pPr>
        <w:pStyle w:val="ListParagraph"/>
        <w:numPr>
          <w:ilvl w:val="0"/>
          <w:numId w:val="10"/>
        </w:numPr>
        <w:ind w:left="360"/>
        <w:rPr>
          <w:lang w:val="es-419"/>
        </w:rPr>
      </w:pPr>
      <w:r>
        <w:t>Cada gerente supervisor luego revisa estas divulgaciones y para no asignar archivos en conflicto.</w:t>
      </w:r>
    </w:p>
    <w:p w14:paraId="58E9F313" w14:textId="262C5A98" w:rsidR="005E7C44" w:rsidRPr="00F91DD0" w:rsidRDefault="227E1361" w:rsidP="002735CF">
      <w:pPr>
        <w:pStyle w:val="ListParagraph"/>
        <w:numPr>
          <w:ilvl w:val="0"/>
          <w:numId w:val="10"/>
        </w:numPr>
        <w:ind w:left="360"/>
        <w:rPr>
          <w:lang w:val="es-419"/>
        </w:rPr>
      </w:pPr>
      <w:r>
        <w:t>Los inspectores están obligados a rechazar el trabajo más allá de su ámbito de competencia.</w:t>
      </w:r>
    </w:p>
    <w:p w14:paraId="221EFACB" w14:textId="1D67C0EB" w:rsidR="005E7C44" w:rsidRPr="00F91DD0" w:rsidRDefault="227E1361" w:rsidP="002735CF">
      <w:pPr>
        <w:pStyle w:val="ListParagraph"/>
        <w:numPr>
          <w:ilvl w:val="0"/>
          <w:numId w:val="10"/>
        </w:numPr>
        <w:ind w:left="360"/>
        <w:rPr>
          <w:lang w:val="es-419"/>
        </w:rPr>
      </w:pPr>
      <w:r>
        <w:t>Los inspectores no pueden inspeccionar a nadie con quien tengan un conflicto de intereses declarado.</w:t>
      </w:r>
    </w:p>
    <w:p w14:paraId="1987FDE3" w14:textId="481E2193" w:rsidR="005E7C44" w:rsidRPr="00F91DD0" w:rsidRDefault="227E1361" w:rsidP="002735CF">
      <w:pPr>
        <w:pStyle w:val="ListParagraph"/>
        <w:numPr>
          <w:ilvl w:val="0"/>
          <w:numId w:val="10"/>
        </w:numPr>
        <w:ind w:left="360"/>
        <w:rPr>
          <w:lang w:val="es-419"/>
        </w:rPr>
      </w:pPr>
      <w:r>
        <w:t>Los inspectores son asignados por personal designado generalmente según el alcance de la auditoría, la calificación del inspector/auditor, la proximidad a la operación y / o disponibilidad, el costo y la evaluando cualquier conflicto de intereses potencial.</w:t>
      </w:r>
    </w:p>
    <w:p w14:paraId="1123B387" w14:textId="46FADDCB" w:rsidR="005E7C44" w:rsidRPr="00F91DD0" w:rsidRDefault="227E1361" w:rsidP="002735CF">
      <w:pPr>
        <w:pStyle w:val="ListParagraph"/>
        <w:numPr>
          <w:ilvl w:val="0"/>
          <w:numId w:val="10"/>
        </w:numPr>
        <w:ind w:left="360"/>
        <w:rPr>
          <w:lang w:val="es-419"/>
        </w:rPr>
      </w:pPr>
      <w:r>
        <w:t>QCS generalmente rota a los inspectores cada 5 años para evitar una familiarización excesiva con el operador y / o la operación. Para operaciones certificadas a COR y / o Reglamento (UE) 2018/848, QCS rota a los inspectores cada 3 años</w:t>
      </w:r>
    </w:p>
    <w:p w14:paraId="6CE1F6A7" w14:textId="4CD001BE" w:rsidR="00FD6A22" w:rsidRPr="00F91DD0" w:rsidRDefault="227E1361" w:rsidP="002735CF">
      <w:pPr>
        <w:pStyle w:val="ListParagraph"/>
        <w:numPr>
          <w:ilvl w:val="0"/>
          <w:numId w:val="10"/>
        </w:numPr>
        <w:ind w:left="360"/>
      </w:pPr>
      <w:r w:rsidRPr="00FE7F19">
        <w:t xml:space="preserve">Los revisores de certificación no pueden revisar el </w:t>
      </w:r>
      <w:r w:rsidR="00C04921">
        <w:t>Plan de sistema orgánico</w:t>
      </w:r>
      <w:r w:rsidRPr="00FE7F19">
        <w:t xml:space="preserve"> de ninguna persona u operación con quien hayan declarado un conflicto de interés.</w:t>
      </w:r>
    </w:p>
    <w:p w14:paraId="33C05CEE" w14:textId="14D2AC59" w:rsidR="00B147D1" w:rsidRPr="00F91DD0" w:rsidRDefault="227E1361" w:rsidP="002735CF">
      <w:pPr>
        <w:pStyle w:val="ListParagraph"/>
        <w:numPr>
          <w:ilvl w:val="0"/>
          <w:numId w:val="10"/>
        </w:numPr>
        <w:ind w:left="360"/>
        <w:rPr>
          <w:lang w:val="es-419"/>
        </w:rPr>
      </w:pPr>
      <w:r>
        <w:t>En caso de que se identifique un conflicto de intereses con un archivo, el personal debe notificar de inmediato al Gerente de Certificación y excusarse de la revisión del archivo. Luego, el operador es designado un revisor calificado alternativo temporal y / o QCS puede reconsiderar la solicitud de certificación de una operación certificada o del solicitante y, si es necesario, realizar una nueva inspección in situ. QCS asumirá todos los costos asociados con una reconsideración de la solicitud, incluidos los costos de inspección in situ. QCS puede derivar una operación certificada o un solicitante a un agente certificador acreditado diferente para la recertificación y reembolsar a la operación el costo de la recertificación cuando se determina que cualquier persona conectada responsablemente involucrada en la decisión de certificación tuvo un conflicto de intereses con el solicitante en el tiempo de certificación.</w:t>
      </w:r>
    </w:p>
    <w:p w14:paraId="5037A05A" w14:textId="2855B538" w:rsidR="00B147D1" w:rsidRPr="00F91DD0" w:rsidRDefault="227E1361" w:rsidP="002735CF">
      <w:pPr>
        <w:pStyle w:val="ListParagraph"/>
        <w:numPr>
          <w:ilvl w:val="0"/>
          <w:numId w:val="10"/>
        </w:numPr>
        <w:ind w:left="360"/>
        <w:rPr>
          <w:lang w:val="es-419"/>
        </w:rPr>
      </w:pPr>
      <w:r>
        <w:t>QCS asegura que las personas que toman decisiones de certificación son diferentes de las que llevaron a cabo la inspección.</w:t>
      </w:r>
    </w:p>
    <w:p w14:paraId="39261241" w14:textId="48DB6581" w:rsidR="00FA2DA2" w:rsidRPr="00F91DD0" w:rsidRDefault="227E1361" w:rsidP="00266915">
      <w:pPr>
        <w:pStyle w:val="Heading2"/>
        <w:rPr>
          <w:lang w:val="es-419"/>
        </w:rPr>
      </w:pPr>
      <w:bookmarkStart w:id="15" w:name="_Toc424898850"/>
      <w:bookmarkStart w:id="16" w:name="_Toc424899238"/>
      <w:bookmarkStart w:id="17" w:name="_Toc500935021"/>
      <w:bookmarkEnd w:id="13"/>
      <w:bookmarkEnd w:id="14"/>
      <w:r w:rsidRPr="227E1361">
        <w:t>Confidenciali</w:t>
      </w:r>
      <w:bookmarkEnd w:id="15"/>
      <w:bookmarkEnd w:id="16"/>
      <w:bookmarkEnd w:id="17"/>
      <w:r w:rsidRPr="227E1361">
        <w:t>dad</w:t>
      </w:r>
      <w:r w:rsidR="00CB16F2">
        <w:t xml:space="preserve"> e </w:t>
      </w:r>
      <w:r w:rsidR="00884CC1">
        <w:t>Intercambio de Información</w:t>
      </w:r>
    </w:p>
    <w:p w14:paraId="1C8E33AF" w14:textId="5A0C6359" w:rsidR="00352C1A" w:rsidRDefault="227E1361" w:rsidP="00337BBD">
      <w:pPr>
        <w:rPr>
          <w:rFonts w:eastAsia="Times New Roman"/>
        </w:rPr>
      </w:pPr>
      <w:r w:rsidRPr="227E1361">
        <w:rPr>
          <w:rFonts w:eastAsia="Times New Roman"/>
        </w:rPr>
        <w:t xml:space="preserve">A todos los niveles de QCS, se </w:t>
      </w:r>
      <w:r w:rsidR="00152C01">
        <w:rPr>
          <w:rFonts w:eastAsia="Times New Roman"/>
        </w:rPr>
        <w:t>implementan</w:t>
      </w:r>
      <w:r w:rsidR="00152C01" w:rsidRPr="227E1361">
        <w:rPr>
          <w:rFonts w:eastAsia="Times New Roman"/>
        </w:rPr>
        <w:t xml:space="preserve"> </w:t>
      </w:r>
      <w:r w:rsidRPr="227E1361">
        <w:rPr>
          <w:rFonts w:eastAsia="Times New Roman"/>
        </w:rPr>
        <w:t xml:space="preserve">disposiciones para garantizar que se mantenga la confidencialidad. </w:t>
      </w:r>
      <w:r w:rsidR="00AD28D4" w:rsidRPr="00AD28D4">
        <w:rPr>
          <w:rFonts w:eastAsia="Times New Roman"/>
        </w:rPr>
        <w:t>QCS salvaguarda la confidencialidad de toda la información obtenida en el curso de las actividades de certificación, y todas las personas relacionadas responsablemente con QCS deben firmar acuerdos de confidencialidad antes de realizar cualquier actividad de certificación. Toda la información que no sea la información pública requerida (ver a continuación), incluida pero no limitado a informes de inspección, información financiera, documentos de revisión de certificación e información de investigaciones de quejas se considera patentada y se utiliza únicamente con fines de certificación orgánica. Hacer pública esta información requiere el consentimiento por escrito del cliente.</w:t>
      </w:r>
      <w:r w:rsidR="00656BFD">
        <w:rPr>
          <w:rFonts w:eastAsia="Times New Roman"/>
        </w:rPr>
        <w:t xml:space="preserve"> </w:t>
      </w:r>
    </w:p>
    <w:p w14:paraId="1E9E869C" w14:textId="2AD7459E" w:rsidR="00CF204E" w:rsidRPr="00F91DD0" w:rsidRDefault="00140BFC" w:rsidP="00966C35">
      <w:pPr>
        <w:rPr>
          <w:rFonts w:eastAsia="Times New Roman"/>
        </w:rPr>
      </w:pPr>
      <w:r w:rsidRPr="00140BFC">
        <w:rPr>
          <w:rFonts w:eastAsia="Times New Roman"/>
        </w:rPr>
        <w:t xml:space="preserve">Para fines de cumplimiento, QCS debe intercambiar información relacionada con el cumplimiento con otros organismos de acreditación, agencias reguladoras y organismos de certificación, incluida información para facilitar las investigaciones, verificar la validez del certificado orgánico de una operación o el estado orgánico del producto, facilitar las auditorías de trazabilidad de la cadena de suministro y /o </w:t>
      </w:r>
      <w:r w:rsidRPr="00140BFC">
        <w:rPr>
          <w:rFonts w:eastAsia="Times New Roman"/>
        </w:rPr>
        <w:lastRenderedPageBreak/>
        <w:t>cuando se sospeche o se establezca un incumplimiento que afecte la integridad orgáni</w:t>
      </w:r>
      <w:r w:rsidR="00DD7B9B">
        <w:rPr>
          <w:rFonts w:eastAsia="Times New Roman"/>
        </w:rPr>
        <w:t>ca</w:t>
      </w:r>
      <w:r w:rsidRPr="00966C35">
        <w:rPr>
          <w:rStyle w:val="FootnoteReference"/>
          <w:rFonts w:asciiTheme="minorHAnsi" w:eastAsia="Times New Roman" w:hAnsiTheme="minorHAnsi" w:cstheme="minorHAnsi"/>
        </w:rPr>
        <w:footnoteReference w:id="2"/>
      </w:r>
      <w:r w:rsidRPr="00140BFC">
        <w:rPr>
          <w:rFonts w:eastAsia="Times New Roman"/>
        </w:rPr>
        <w:t>.</w:t>
      </w:r>
      <w:r>
        <w:rPr>
          <w:rFonts w:eastAsia="Times New Roman"/>
        </w:rPr>
        <w:t xml:space="preserve"> </w:t>
      </w:r>
      <w:r w:rsidR="227E1361" w:rsidRPr="227E1361">
        <w:rPr>
          <w:rFonts w:eastAsia="Times New Roman"/>
        </w:rPr>
        <w:t>Dichos intercambios serán considerados y gestionados como confidenciales por la parte receptora.</w:t>
      </w:r>
      <w:r w:rsidR="00A52C5D">
        <w:rPr>
          <w:rFonts w:eastAsia="Times New Roman"/>
        </w:rPr>
        <w:t xml:space="preserve"> </w:t>
      </w:r>
      <w:r w:rsidR="00F00F80" w:rsidRPr="00F00F80">
        <w:rPr>
          <w:rFonts w:eastAsia="Times New Roman"/>
        </w:rPr>
        <w:t xml:space="preserve">QCS solicita respuestas de información de otros organismos de certificación dentro de los 30 días, </w:t>
      </w:r>
      <w:r w:rsidR="00D426B6" w:rsidRPr="00D426B6">
        <w:rPr>
          <w:rFonts w:eastAsia="Times New Roman"/>
        </w:rPr>
        <w:t>y responde a las solicitudes de las partes relevantes de acuerdo con el plazo establecido por los solicitantes</w:t>
      </w:r>
      <w:r w:rsidR="00F00F80" w:rsidRPr="00F00F80">
        <w:rPr>
          <w:rFonts w:eastAsia="Times New Roman"/>
        </w:rPr>
        <w:t>.</w:t>
      </w:r>
    </w:p>
    <w:p w14:paraId="49FB99C2" w14:textId="5B922B8B" w:rsidR="001E64AC" w:rsidRPr="00F91DD0" w:rsidRDefault="004623B6" w:rsidP="002C29A3">
      <w:pPr>
        <w:pStyle w:val="Heading2"/>
        <w:rPr>
          <w:lang w:val="es-419"/>
        </w:rPr>
      </w:pPr>
      <w:r w:rsidRPr="004623B6">
        <w:t xml:space="preserve">Información que debe estar disponible </w:t>
      </w:r>
      <w:r w:rsidR="002C29A3">
        <w:t>al</w:t>
      </w:r>
      <w:r w:rsidRPr="004623B6">
        <w:t xml:space="preserve"> público</w:t>
      </w:r>
    </w:p>
    <w:p w14:paraId="2D2B9656" w14:textId="65F00C55" w:rsidR="00CF204E" w:rsidRPr="00F91DD0" w:rsidRDefault="227E1361" w:rsidP="00337BBD">
      <w:pPr>
        <w:rPr>
          <w:rFonts w:eastAsia="Calibri"/>
          <w:lang w:val="es-419"/>
        </w:rPr>
      </w:pPr>
      <w:r w:rsidRPr="227E1361">
        <w:rPr>
          <w:rFonts w:eastAsia="Calibri"/>
        </w:rPr>
        <w:t xml:space="preserve">La información se pone a disposición del público de manera rutinaria y puede incluir una tarifa administrativa según el Programa de tarifas de QCS. La información pública incluye: </w:t>
      </w:r>
    </w:p>
    <w:p w14:paraId="5004E22B" w14:textId="1CDB1FB7" w:rsidR="001E64AC" w:rsidRPr="00B97310" w:rsidRDefault="227E1361" w:rsidP="002735CF">
      <w:pPr>
        <w:pStyle w:val="ListParagraph"/>
        <w:numPr>
          <w:ilvl w:val="0"/>
          <w:numId w:val="29"/>
        </w:numPr>
        <w:ind w:left="360"/>
        <w:rPr>
          <w:rFonts w:eastAsia="Calibri"/>
          <w:lang w:val="es-419"/>
        </w:rPr>
      </w:pPr>
      <w:r w:rsidRPr="00B97310">
        <w:rPr>
          <w:rFonts w:eastAsia="Calibri"/>
        </w:rPr>
        <w:t>Certificados emitidos durante los 3 años actuales y anteriores;</w:t>
      </w:r>
    </w:p>
    <w:p w14:paraId="66657E8F" w14:textId="5D7D4068" w:rsidR="001E64AC" w:rsidRPr="00B97310" w:rsidRDefault="0012329E" w:rsidP="002735CF">
      <w:pPr>
        <w:pStyle w:val="ListParagraph"/>
        <w:numPr>
          <w:ilvl w:val="0"/>
          <w:numId w:val="29"/>
        </w:numPr>
        <w:ind w:left="360"/>
        <w:rPr>
          <w:rFonts w:eastAsia="Calibri"/>
          <w:lang w:val="es-419"/>
        </w:rPr>
      </w:pPr>
      <w:r w:rsidRPr="0012329E">
        <w:rPr>
          <w:rFonts w:eastAsia="Calibri"/>
          <w:lang w:val="es-419"/>
        </w:rPr>
        <w:t>Una lista de productores y manejadores que incluya el nombre de cada operación, tipo de operación, productos producidos y fecha de vigencia de la certificación ante el USDA-NOP durante el año calendario actual y los tres anteriores (incluidas las operaciones cuyos certificados han sido entregados, suspendidos o revocado) disponible en la Base de Datos de Integridad Orgánica</w:t>
      </w:r>
      <w:r w:rsidR="00061952">
        <w:rPr>
          <w:rFonts w:eastAsia="Calibri"/>
          <w:lang w:val="es-419"/>
        </w:rPr>
        <w:t xml:space="preserve"> (USDA NOP Organic Integrity Database)</w:t>
      </w:r>
      <w:r w:rsidRPr="0012329E">
        <w:rPr>
          <w:rFonts w:eastAsia="Calibri"/>
          <w:lang w:val="es-419"/>
        </w:rPr>
        <w:t>. El sitio web de QCS mantiene información relacionada con las operaciones bajo el control de QCS para la exportación a la Unión Europea según lo dispuesto en el artículo 17 del Reglamento (UE) 2021/1698. Las operaciones certificadas para otros programas se enumeran en el sitio web de QCS según lo requiera cada programa.</w:t>
      </w:r>
    </w:p>
    <w:p w14:paraId="5EB52637" w14:textId="115C4614" w:rsidR="001E64AC" w:rsidRPr="00B97310" w:rsidRDefault="227E1361" w:rsidP="002735CF">
      <w:pPr>
        <w:pStyle w:val="ListParagraph"/>
        <w:numPr>
          <w:ilvl w:val="0"/>
          <w:numId w:val="29"/>
        </w:numPr>
        <w:ind w:left="360"/>
        <w:rPr>
          <w:rFonts w:eastAsia="Calibri"/>
          <w:lang w:val="es-419"/>
        </w:rPr>
      </w:pPr>
      <w:r w:rsidRPr="00B97310">
        <w:rPr>
          <w:rFonts w:eastAsia="Calibri"/>
        </w:rPr>
        <w:t>Los resultados de análisis de laboratorio para residuos de pesticidas y otras sustancias prohibidas realizadas durante el año actual y los 3 años calendario anteriores;</w:t>
      </w:r>
    </w:p>
    <w:p w14:paraId="6687E5E4" w14:textId="1956FAC8" w:rsidR="001E64AC" w:rsidRPr="00B97310" w:rsidRDefault="227E1361" w:rsidP="002735CF">
      <w:pPr>
        <w:pStyle w:val="ListParagraph"/>
        <w:numPr>
          <w:ilvl w:val="0"/>
          <w:numId w:val="29"/>
        </w:numPr>
        <w:ind w:left="360"/>
        <w:rPr>
          <w:rFonts w:eastAsia="Calibri"/>
          <w:lang w:val="es-419"/>
        </w:rPr>
      </w:pPr>
      <w:r w:rsidRPr="00B97310">
        <w:rPr>
          <w:rFonts w:eastAsia="Calibri"/>
        </w:rPr>
        <w:t>Otra información comercial tal como se proporciona por escrito por el productor o manejador;</w:t>
      </w:r>
    </w:p>
    <w:p w14:paraId="32B92671" w14:textId="13325CA1" w:rsidR="007228D2" w:rsidRPr="00B97310" w:rsidRDefault="227E1361" w:rsidP="002735CF">
      <w:pPr>
        <w:pStyle w:val="ListParagraph"/>
        <w:numPr>
          <w:ilvl w:val="0"/>
          <w:numId w:val="29"/>
        </w:numPr>
        <w:ind w:left="360"/>
        <w:rPr>
          <w:rFonts w:eastAsia="Times New Roman"/>
          <w:lang w:val="es-419"/>
        </w:rPr>
      </w:pPr>
      <w:r w:rsidRPr="00B97310">
        <w:rPr>
          <w:rFonts w:eastAsia="Calibri"/>
        </w:rPr>
        <w:t>Una copia de los procedimientos que se utilizarán para el muestreo y la prueba de residuos.</w:t>
      </w:r>
    </w:p>
    <w:p w14:paraId="4DFF7510" w14:textId="5ABEA0F1" w:rsidR="00EB5569" w:rsidRPr="00F91DD0" w:rsidRDefault="227E1361" w:rsidP="00266915">
      <w:pPr>
        <w:pStyle w:val="Heading2"/>
        <w:rPr>
          <w:lang w:val="es-419"/>
        </w:rPr>
      </w:pPr>
      <w:r w:rsidRPr="227E1361">
        <w:t>Requisitos Generales de Certificación</w:t>
      </w:r>
    </w:p>
    <w:p w14:paraId="3B072993" w14:textId="49A143D8" w:rsidR="007228D2" w:rsidRPr="00FE7F19" w:rsidRDefault="227E1361" w:rsidP="00337BBD">
      <w:r w:rsidRPr="00FE7F19">
        <w:t xml:space="preserve">El operador y QCS deben cumplir con el Contrato de Certificación y Licencia de Marca de QCS, los requisitos en el </w:t>
      </w:r>
      <w:r w:rsidR="00C04921">
        <w:t>Plan de sistema orgánico</w:t>
      </w:r>
      <w:r w:rsidRPr="00FE7F19">
        <w:t xml:space="preserve"> correspondiente, las renovaciones, los manuales y otros documentos; incluyendo lo siguiente: </w:t>
      </w:r>
    </w:p>
    <w:p w14:paraId="224C52ED" w14:textId="48EE6311" w:rsidR="004D2081" w:rsidRPr="00F91DD0" w:rsidRDefault="227E1361" w:rsidP="002735CF">
      <w:pPr>
        <w:pStyle w:val="ListParagraph"/>
        <w:numPr>
          <w:ilvl w:val="0"/>
          <w:numId w:val="11"/>
        </w:numPr>
        <w:ind w:left="360"/>
        <w:rPr>
          <w:lang w:val="es-419"/>
        </w:rPr>
      </w:pPr>
      <w:r>
        <w:t>Si la certificación se aplica a la producción en curso, el producto certificado continúa cumpliendo con los requisitos de producción;</w:t>
      </w:r>
    </w:p>
    <w:p w14:paraId="651620D1" w14:textId="4042447C" w:rsidR="004D2081" w:rsidRPr="00F91DD0" w:rsidRDefault="227E1361" w:rsidP="002735CF">
      <w:pPr>
        <w:pStyle w:val="ListParagraph"/>
        <w:numPr>
          <w:ilvl w:val="0"/>
          <w:numId w:val="11"/>
        </w:numPr>
        <w:ind w:left="360"/>
        <w:rPr>
          <w:lang w:val="es-419"/>
        </w:rPr>
      </w:pPr>
      <w:r>
        <w:t>El operador tomará todas las medidas necesarias para la realización de la evaluación y vigilancia (si es necesario), incluyendo la disposición para examinar la documentación y el acceso a todas las áreas, equipos, registros y personal con el propósito de evaluación (por ejemplo, pruebas, inspección, evaluación, vigilancia, reevaluación) y la investigación y resolución de querellas. El cliente también hará todos los arreglos necesarios para la participación de observadores (por ejemplo, personal del organismo de certificación, personal del organismo de acreditación, funcionarios reguladores, aprendices).</w:t>
      </w:r>
    </w:p>
    <w:p w14:paraId="1CF5E026" w14:textId="26DC6CFB" w:rsidR="004D2081" w:rsidRPr="00F91DD0" w:rsidRDefault="227E1361" w:rsidP="002735CF">
      <w:pPr>
        <w:pStyle w:val="ListParagraph"/>
        <w:numPr>
          <w:ilvl w:val="0"/>
          <w:numId w:val="11"/>
        </w:numPr>
        <w:ind w:left="360"/>
        <w:rPr>
          <w:lang w:val="es-419"/>
        </w:rPr>
      </w:pPr>
      <w:r>
        <w:t>El operador hace declaraciones relacionadas a la certificación consistentes con el alcance de la certificación;</w:t>
      </w:r>
    </w:p>
    <w:p w14:paraId="75FBF423" w14:textId="643CB1C3" w:rsidR="007228D2" w:rsidRPr="00F91DD0" w:rsidRDefault="227E1361" w:rsidP="002735CF">
      <w:pPr>
        <w:pStyle w:val="ListParagraph"/>
        <w:numPr>
          <w:ilvl w:val="0"/>
          <w:numId w:val="11"/>
        </w:numPr>
        <w:ind w:left="360"/>
        <w:rPr>
          <w:lang w:val="es-419"/>
        </w:rPr>
      </w:pPr>
      <w:r>
        <w:t>El operador no utiliza la certificación de su producto de tal manera que desacredite al organismo de certificación y no hace ninguna declaración con respecto a la certificación del producto que el organismo de certificación pueda considerar engañoso o no autorizado;</w:t>
      </w:r>
    </w:p>
    <w:p w14:paraId="28C7CBF0" w14:textId="1A8A495B" w:rsidR="00E31221" w:rsidRPr="00F91DD0" w:rsidRDefault="227E1361" w:rsidP="002735CF">
      <w:pPr>
        <w:pStyle w:val="ListParagraph"/>
        <w:numPr>
          <w:ilvl w:val="0"/>
          <w:numId w:val="11"/>
        </w:numPr>
        <w:ind w:left="360"/>
        <w:rPr>
          <w:lang w:val="es-419"/>
        </w:rPr>
      </w:pPr>
      <w:r w:rsidRPr="00FE7F19">
        <w:lastRenderedPageBreak/>
        <w:t xml:space="preserve">El operador, al </w:t>
      </w:r>
      <w:r w:rsidR="00630359">
        <w:t>retirar</w:t>
      </w:r>
      <w:r w:rsidRPr="00FE7F19">
        <w:t>, suspender, retirar o terminar la certificación, el cliente cesa el uso de todo</w:t>
      </w:r>
      <w:r w:rsidRPr="227E1361">
        <w:t xml:space="preserve"> </w:t>
      </w:r>
      <w:r w:rsidRPr="00FE7F19">
        <w:t>el material publicitario que contenga alguna referencia al mismo y toma las medidas requeridas por el es</w:t>
      </w:r>
      <w:r>
        <w:t>quema de certificación (por ejemplo, la devolución de los documentos de certificación) y toma cualquier otra medida requerida;</w:t>
      </w:r>
    </w:p>
    <w:p w14:paraId="13E77F3F" w14:textId="03414B25" w:rsidR="00E31221" w:rsidRPr="00F91DD0" w:rsidRDefault="227E1361" w:rsidP="002735CF">
      <w:pPr>
        <w:pStyle w:val="ListParagraph"/>
        <w:numPr>
          <w:ilvl w:val="0"/>
          <w:numId w:val="11"/>
        </w:numPr>
        <w:ind w:left="360"/>
        <w:rPr>
          <w:lang w:val="es-419"/>
        </w:rPr>
      </w:pPr>
      <w:r>
        <w:t>El operador debe proporcionar copias de los documentos de certificación a otros, los documentos deben reproducirse en su totalidad o según lo especificado en el esquema de certificación;</w:t>
      </w:r>
    </w:p>
    <w:p w14:paraId="33094B2F" w14:textId="7902F630" w:rsidR="00E31221" w:rsidRPr="00F91DD0" w:rsidRDefault="227E1361" w:rsidP="002735CF">
      <w:pPr>
        <w:pStyle w:val="ListParagraph"/>
        <w:numPr>
          <w:ilvl w:val="0"/>
          <w:numId w:val="11"/>
        </w:numPr>
        <w:ind w:left="360"/>
        <w:rPr>
          <w:lang w:val="es-419"/>
        </w:rPr>
      </w:pPr>
      <w:r>
        <w:t xml:space="preserve">El operador al hacer referencia a la certificación de su producto en medios de comunicación como documentos, folletos o </w:t>
      </w:r>
      <w:proofErr w:type="gramStart"/>
      <w:r>
        <w:t>publicidad,</w:t>
      </w:r>
      <w:proofErr w:type="gramEnd"/>
      <w:r>
        <w:t xml:space="preserve"> cumple con los requisitos del organismo de certificación o según lo especificado por el esquema de certificación;</w:t>
      </w:r>
    </w:p>
    <w:p w14:paraId="069625DD" w14:textId="2EDA6B15" w:rsidR="00E31221" w:rsidRPr="00F91DD0" w:rsidRDefault="227E1361" w:rsidP="002735CF">
      <w:pPr>
        <w:pStyle w:val="ListParagraph"/>
        <w:numPr>
          <w:ilvl w:val="0"/>
          <w:numId w:val="11"/>
        </w:numPr>
        <w:ind w:left="360"/>
        <w:rPr>
          <w:lang w:val="es-419"/>
        </w:rPr>
      </w:pPr>
      <w:r>
        <w:t>El operador cumple con los requisitos que se pueden prescribir en el esquema de certificación relacionado con el uso de marcas de conformidad y con la información relacionada con el producto;</w:t>
      </w:r>
    </w:p>
    <w:p w14:paraId="42F20C2B" w14:textId="01A5F5A8" w:rsidR="00B10466" w:rsidRPr="00F91DD0" w:rsidRDefault="227E1361" w:rsidP="002735CF">
      <w:pPr>
        <w:pStyle w:val="ListParagraph"/>
        <w:numPr>
          <w:ilvl w:val="0"/>
          <w:numId w:val="11"/>
        </w:numPr>
        <w:ind w:left="360"/>
        <w:rPr>
          <w:rFonts w:asciiTheme="majorHAnsi" w:hAnsiTheme="majorHAnsi" w:cstheme="majorBidi"/>
          <w:lang w:val="es-419"/>
        </w:rPr>
      </w:pPr>
      <w:r>
        <w:t>El operador mantiene un registro de todas las querellas que se le comunican en relación con el cumplimiento de los requisitos de certificación y pone estos registros a disposición del organismo de certificación cuando se solicite, y toma las medidas apropiadas con respecto a tales querellas y cualquier deficiencia encontrada en los productos que afectan el cumplimiento de requisitos para la certificación; documenta las acciones tomadas;</w:t>
      </w:r>
    </w:p>
    <w:p w14:paraId="53500E53" w14:textId="311AC361" w:rsidR="00A923F9" w:rsidRPr="00F91DD0" w:rsidRDefault="227E1361" w:rsidP="002735CF">
      <w:pPr>
        <w:pStyle w:val="ListParagraph"/>
        <w:numPr>
          <w:ilvl w:val="0"/>
          <w:numId w:val="11"/>
        </w:numPr>
        <w:ind w:left="360"/>
        <w:rPr>
          <w:lang w:val="es-419"/>
        </w:rPr>
      </w:pPr>
      <w:r w:rsidRPr="227E1361">
        <w:rPr>
          <w:rFonts w:ascii="Calibri" w:hAnsi="Calibri" w:cs="Calibri"/>
        </w:rPr>
        <w:t xml:space="preserve">El operador informa al organismo de certificación, sin demora, de los cambios que pueden afectar su capacidad de cumplir con los requisitos de certificación. NOTA Los ejemplos de cambios pueden incluir lo siguiente: el estado legal, comercial, organizacional o propiedad, organización y administración (por ejemplo, personal administrativo clave, de toma de decisiones o técnico), modificaciones al producto o al método de producción, </w:t>
      </w:r>
      <w:r w:rsidRPr="227E1361">
        <w:rPr>
          <w:rFonts w:ascii="Calibri" w:eastAsia="Times New Roman" w:hAnsi="Calibri" w:cs="Calibri"/>
        </w:rPr>
        <w:t>dirección postal, información de contacto, contactos autorizados, dirección física y sitios de producción</w:t>
      </w:r>
      <w:r>
        <w:t>, cambios importantes en el sistema de gestión de calidad.</w:t>
      </w:r>
    </w:p>
    <w:p w14:paraId="4142714D" w14:textId="20B0EB88" w:rsidR="00A923F9" w:rsidRPr="00F91DD0" w:rsidRDefault="227E1361" w:rsidP="002735CF">
      <w:pPr>
        <w:pStyle w:val="ListParagraph"/>
        <w:numPr>
          <w:ilvl w:val="0"/>
          <w:numId w:val="11"/>
        </w:numPr>
        <w:ind w:left="360"/>
        <w:rPr>
          <w:lang w:val="es-419"/>
        </w:rPr>
      </w:pPr>
      <w:r>
        <w:t>El operador debe aceptar, en los casos en que el operador y / o los subcontratistas de ese operador sean controlados por diferentes autoridades de control u organismos de control para permitir el intercambio de información entre esas autoridades u organismos.</w:t>
      </w:r>
    </w:p>
    <w:p w14:paraId="2D016713" w14:textId="7F4457BB" w:rsidR="00A923F9" w:rsidRPr="00F91DD0" w:rsidRDefault="227E1361" w:rsidP="004B1571">
      <w:pPr>
        <w:pStyle w:val="ListParagraph"/>
        <w:numPr>
          <w:ilvl w:val="0"/>
          <w:numId w:val="3"/>
        </w:numPr>
        <w:ind w:left="360"/>
        <w:rPr>
          <w:lang w:val="es-419"/>
        </w:rPr>
      </w:pPr>
      <w:r>
        <w:t>El operador acepta, en los casos en que el operador y / o los subcontratistas de ese operador cambian su autoridad de control u organismo de certificación, la transmisión de archivos a la autoridad de control u organismo de certificación posterior.</w:t>
      </w:r>
    </w:p>
    <w:p w14:paraId="29DBFE0C" w14:textId="5AF13FC0" w:rsidR="00A923F9" w:rsidRPr="00F91DD0" w:rsidRDefault="227E1361" w:rsidP="002735CF">
      <w:pPr>
        <w:pStyle w:val="ListParagraph"/>
        <w:numPr>
          <w:ilvl w:val="0"/>
          <w:numId w:val="11"/>
        </w:numPr>
        <w:ind w:left="360"/>
        <w:rPr>
          <w:lang w:val="es-419"/>
        </w:rPr>
      </w:pPr>
      <w:r>
        <w:t>El operador debe informar a QCS sin demora de cualquier irregularidad o infracción que afecte el estado orgánico de su producto o los productos orgánicos recibidos de otros operadores o subcontratistas.</w:t>
      </w:r>
    </w:p>
    <w:p w14:paraId="49CB05C8" w14:textId="43A2023E" w:rsidR="003E0919" w:rsidRPr="00F91DD0" w:rsidRDefault="227E1361" w:rsidP="002735CF">
      <w:pPr>
        <w:pStyle w:val="ListParagraph"/>
        <w:numPr>
          <w:ilvl w:val="0"/>
          <w:numId w:val="11"/>
        </w:numPr>
        <w:ind w:left="360"/>
        <w:rPr>
          <w:rFonts w:eastAsia="Calibri"/>
          <w:lang w:val="es-419"/>
        </w:rPr>
      </w:pPr>
      <w:r>
        <w:t>Las op</w:t>
      </w:r>
      <w:r w:rsidRPr="00FE7F19">
        <w:t>eraciones certificadas bajo los Requisitos de Certificación del Reglamento (UE) 2018-848 o bajo el</w:t>
      </w:r>
      <w:r w:rsidR="00C2598D">
        <w:t xml:space="preserve"> </w:t>
      </w:r>
      <w:r w:rsidRPr="00FE7F19">
        <w:t>Régimen Orgánico de Canadá</w:t>
      </w:r>
      <w:r w:rsidRPr="227E1361">
        <w:rPr>
          <w:rFonts w:ascii="Segoe UI" w:eastAsia="Segoe UI" w:hAnsi="Segoe UI" w:cs="Segoe UI"/>
          <w:color w:val="000000" w:themeColor="text1"/>
          <w:sz w:val="24"/>
          <w:szCs w:val="24"/>
        </w:rPr>
        <w:t xml:space="preserve"> </w:t>
      </w:r>
      <w:r>
        <w:t>deben mantener un registro de cualquier querella que se dé a conocer en relación con el cumplimiento de las regulaciones de un producto y estos registros deben ponerse a disposición de QCS según se soliciten. Se deben tomar las medidas apropiadas con respecto a tales querellas y cualquier deficiencia encontrada en productos o servicios que afecten el cumplimiento de los requisitos de certificación. Cualquier acci</w:t>
      </w:r>
      <w:r w:rsidRPr="227E1361">
        <w:t>ó</w:t>
      </w:r>
      <w:r>
        <w:t>n tomada deben estar documentada.</w:t>
      </w:r>
    </w:p>
    <w:p w14:paraId="21CCBCA3" w14:textId="2FEA2897" w:rsidR="003B6DCF" w:rsidRPr="00F91DD0" w:rsidRDefault="227E1361" w:rsidP="002735CF">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eastAsia="Times New Roman" w:hAnsi="Calibri" w:cs="Calibri"/>
          <w:lang w:val="es-419"/>
        </w:rPr>
      </w:pPr>
      <w:r w:rsidRPr="00FE7F19">
        <w:t>El operador debe acepta</w:t>
      </w:r>
      <w:r w:rsidRPr="227E1361">
        <w:rPr>
          <w:rFonts w:ascii="Calibri" w:eastAsia="Times New Roman" w:hAnsi="Calibri" w:cs="Calibri"/>
        </w:rPr>
        <w:t>r y revisar todas las comunicaciones y notificaciones de QCS y responder en su totalidad a todos los avisos y solicitudes de información en el plazo especificado. QCS puede enviar avisos mediante correo certificado o correo electrónico registrado según lo requiera la norma. La falta de aceptación, apertura o revisión de cualquier comunicación no exime al operador de los requisitos especificados en el aviso.</w:t>
      </w:r>
    </w:p>
    <w:p w14:paraId="6311AF62" w14:textId="7FAE0B03" w:rsidR="00CF204E" w:rsidRPr="00F91DD0" w:rsidRDefault="227E1361" w:rsidP="00266915">
      <w:pPr>
        <w:pStyle w:val="Heading2"/>
        <w:rPr>
          <w:lang w:val="es-419"/>
        </w:rPr>
      </w:pPr>
      <w:bookmarkStart w:id="18" w:name="_Toc424898851"/>
      <w:bookmarkStart w:id="19" w:name="_Toc424899239"/>
      <w:bookmarkStart w:id="20" w:name="_Toc500935024"/>
      <w:r w:rsidRPr="227E1361">
        <w:lastRenderedPageBreak/>
        <w:t>Transparenc</w:t>
      </w:r>
      <w:bookmarkEnd w:id="18"/>
      <w:bookmarkEnd w:id="19"/>
      <w:bookmarkEnd w:id="20"/>
      <w:r w:rsidRPr="227E1361">
        <w:t>ia</w:t>
      </w:r>
    </w:p>
    <w:p w14:paraId="38823B63" w14:textId="4523EA7E" w:rsidR="00CF204E" w:rsidRPr="00F91DD0" w:rsidRDefault="227E1361" w:rsidP="00966C35">
      <w:pPr>
        <w:rPr>
          <w:rFonts w:eastAsia="Times New Roman"/>
          <w:lang w:val="es-419"/>
        </w:rPr>
      </w:pPr>
      <w:r w:rsidRPr="227E1361">
        <w:rPr>
          <w:rFonts w:eastAsia="Times New Roman"/>
        </w:rPr>
        <w:t xml:space="preserve">El programa de certificación QCS es transparente para todas las personas interna y externamente. Las publicaciones y otros documentos se publican o se ponen a disposición del público a pedido por vía electrónica o por otros medios. </w:t>
      </w:r>
    </w:p>
    <w:p w14:paraId="17E42371" w14:textId="04F0FB62" w:rsidR="00C61490" w:rsidRPr="00A44F04" w:rsidRDefault="227E1361" w:rsidP="002735CF">
      <w:pPr>
        <w:pStyle w:val="ListParagraph"/>
        <w:numPr>
          <w:ilvl w:val="0"/>
          <w:numId w:val="18"/>
        </w:numPr>
        <w:ind w:left="360"/>
        <w:jc w:val="left"/>
        <w:rPr>
          <w:rFonts w:eastAsia="Times New Roman"/>
          <w:lang w:val="es-419"/>
        </w:rPr>
      </w:pPr>
      <w:r w:rsidRPr="227E1361">
        <w:rPr>
          <w:rFonts w:eastAsia="Times New Roman"/>
          <w:b/>
          <w:bCs/>
          <w:i/>
          <w:iCs/>
        </w:rPr>
        <w:t>Manual</w:t>
      </w:r>
      <w:r w:rsidRPr="227E1361">
        <w:rPr>
          <w:rFonts w:eastAsia="Times New Roman"/>
        </w:rPr>
        <w:t xml:space="preserve"> </w:t>
      </w:r>
      <w:r w:rsidRPr="227E1361">
        <w:rPr>
          <w:rFonts w:eastAsia="Times New Roman"/>
          <w:b/>
          <w:bCs/>
          <w:i/>
          <w:iCs/>
        </w:rPr>
        <w:t>de Certificación Orgánica</w:t>
      </w:r>
      <w:r w:rsidR="00337BBD">
        <w:rPr>
          <w:rFonts w:eastAsia="Times New Roman"/>
          <w:b/>
          <w:bCs/>
          <w:i/>
          <w:iCs/>
        </w:rPr>
        <w:br/>
      </w:r>
      <w:r w:rsidRPr="00337BBD">
        <w:rPr>
          <w:rFonts w:eastAsia="Times New Roman"/>
        </w:rPr>
        <w:t xml:space="preserve">El Manual de certificación orgánica de QCS está diseñado para describir las políticas de QCS relacionadas con todos los programas de certificación orgánica. Este manual incluye una descripción de los estándares relevantes e información sobre los procedimientos de certificación para aquellos programas operados por QCS para facilitar la venta de productos orgánicos en los Estados Unidos y la exportación a países extranjeros. El Manual de Certificación Orgánica de QCS y los estándares relevantes se ponen a disposición del público en el sitio web de QCS, </w:t>
      </w:r>
      <w:hyperlink r:id="rId12">
        <w:r w:rsidRPr="00337BBD">
          <w:rPr>
            <w:rFonts w:eastAsia="Calibri"/>
            <w:color w:val="0000FF"/>
            <w:u w:val="single"/>
          </w:rPr>
          <w:t>www.qcsinfo.org</w:t>
        </w:r>
      </w:hyperlink>
      <w:r w:rsidRPr="00337BBD">
        <w:rPr>
          <w:rFonts w:eastAsia="Calibri"/>
          <w:color w:val="0000FF"/>
          <w:u w:val="single"/>
        </w:rPr>
        <w:t xml:space="preserve"> </w:t>
      </w:r>
      <w:r w:rsidRPr="00337BBD">
        <w:rPr>
          <w:rFonts w:eastAsia="Times New Roman"/>
        </w:rPr>
        <w:t>y luego de la solicitud a QCS.</w:t>
      </w:r>
    </w:p>
    <w:p w14:paraId="6A0809C2" w14:textId="45D2C97E" w:rsidR="00CF204E" w:rsidRPr="00337BBD" w:rsidRDefault="227E1361" w:rsidP="002735CF">
      <w:pPr>
        <w:pStyle w:val="ListParagraph"/>
        <w:numPr>
          <w:ilvl w:val="0"/>
          <w:numId w:val="18"/>
        </w:numPr>
        <w:ind w:left="360"/>
        <w:jc w:val="left"/>
        <w:rPr>
          <w:rFonts w:eastAsia="Times New Roman"/>
          <w:b/>
          <w:bCs/>
          <w:i/>
          <w:iCs/>
          <w:lang w:val="es-419"/>
        </w:rPr>
      </w:pPr>
      <w:r w:rsidRPr="227E1361">
        <w:rPr>
          <w:rFonts w:eastAsia="Times New Roman"/>
          <w:b/>
          <w:bCs/>
          <w:i/>
          <w:iCs/>
        </w:rPr>
        <w:t>Manual de Normas de Certificación QCS-NOP</w:t>
      </w:r>
      <w:r w:rsidR="00337BBD">
        <w:rPr>
          <w:rFonts w:eastAsia="Times New Roman"/>
          <w:b/>
          <w:bCs/>
          <w:i/>
          <w:iCs/>
        </w:rPr>
        <w:br/>
      </w:r>
      <w:r w:rsidRPr="00337BBD">
        <w:rPr>
          <w:rFonts w:eastAsia="Times New Roman"/>
        </w:rPr>
        <w:t>El Manual de Estándares de Certificación NOP contiene los</w:t>
      </w:r>
      <w:r w:rsidR="00C2598D" w:rsidRPr="00337BBD">
        <w:rPr>
          <w:rFonts w:eastAsia="Times New Roman"/>
        </w:rPr>
        <w:t xml:space="preserve"> </w:t>
      </w:r>
      <w:r w:rsidRPr="00337BBD">
        <w:rPr>
          <w:rFonts w:eastAsia="Times New Roman"/>
        </w:rPr>
        <w:t>Estándares del Programa Nacional Orgánico del USDA. Se requiere el cumplimiento de estas normas para la venta de productos orgánicos en los Estados Unidos. Los Estándares NOP también sirven como estándares básicos para todas las certificaciones de exportación.</w:t>
      </w:r>
    </w:p>
    <w:p w14:paraId="7F5D7E4F" w14:textId="43E06A39" w:rsidR="00CF204E" w:rsidRPr="00337BBD" w:rsidRDefault="227E1361" w:rsidP="002735CF">
      <w:pPr>
        <w:pStyle w:val="ListParagraph"/>
        <w:numPr>
          <w:ilvl w:val="0"/>
          <w:numId w:val="18"/>
        </w:numPr>
        <w:ind w:left="360"/>
        <w:jc w:val="left"/>
        <w:rPr>
          <w:rFonts w:eastAsia="Times New Roman"/>
          <w:b/>
          <w:bCs/>
          <w:i/>
          <w:iCs/>
          <w:lang w:val="es-419"/>
        </w:rPr>
      </w:pPr>
      <w:r w:rsidRPr="227E1361">
        <w:rPr>
          <w:rFonts w:eastAsia="Times New Roman"/>
          <w:b/>
          <w:bCs/>
          <w:i/>
          <w:iCs/>
        </w:rPr>
        <w:t>Reglamento (UE) 2018/848</w:t>
      </w:r>
      <w:r w:rsidR="00337BBD">
        <w:rPr>
          <w:rFonts w:eastAsia="Times New Roman"/>
          <w:b/>
          <w:bCs/>
          <w:i/>
          <w:iCs/>
        </w:rPr>
        <w:br/>
      </w:r>
      <w:r w:rsidRPr="00337BBD">
        <w:rPr>
          <w:rFonts w:eastAsia="Times New Roman"/>
          <w:color w:val="000000" w:themeColor="text1"/>
        </w:rPr>
        <w:t xml:space="preserve">El Reglamento (UE) 2018-848 es el acto legislativo aplicable, también conocido como acto de base, por el que se establecen las normas sobre producción ecológica y etiquetado de productos ecológicos, que deroga y sustituye al Reglamento (CE) n.º 834/2007 del Consejo. Además, los requisitos de producción ecológica de la UE se detallan en los actos de delegación y ejecución relacionados. Se puede acceder al texto completo del Reglamento (UE) 2018-848 y sus actos delegados y de ejecución desde el sitio web de la Comisión Europea sobre legislación para el sector orgánico: </w:t>
      </w:r>
      <w:hyperlink r:id="rId13" w:history="1">
        <w:r w:rsidRPr="00337BBD">
          <w:rPr>
            <w:rStyle w:val="Hyperlink"/>
            <w:rFonts w:asciiTheme="minorHAnsi" w:eastAsia="Times New Roman" w:hAnsiTheme="minorHAnsi" w:cstheme="minorBidi"/>
          </w:rPr>
          <w:t>Legislación (europa.eu)</w:t>
        </w:r>
      </w:hyperlink>
      <w:r w:rsidR="00CF204E" w:rsidRPr="00337BBD">
        <w:rPr>
          <w:rFonts w:eastAsia="Times New Roman"/>
          <w:lang w:val="es-419"/>
        </w:rPr>
        <w:t xml:space="preserve">. </w:t>
      </w:r>
    </w:p>
    <w:p w14:paraId="2805E2AB" w14:textId="68EBD215" w:rsidR="00CF204E" w:rsidRPr="00F91DD0" w:rsidRDefault="00F64B14" w:rsidP="002735CF">
      <w:pPr>
        <w:pStyle w:val="ListParagraph"/>
        <w:numPr>
          <w:ilvl w:val="0"/>
          <w:numId w:val="18"/>
        </w:numPr>
        <w:ind w:left="360"/>
        <w:jc w:val="left"/>
        <w:rPr>
          <w:rFonts w:eastAsia="Times New Roman"/>
          <w:i/>
          <w:iCs/>
          <w:color w:val="000000"/>
          <w:lang w:val="es-419"/>
        </w:rPr>
      </w:pPr>
      <w:r w:rsidRPr="227E1361">
        <w:rPr>
          <w:rFonts w:eastAsia="Times New Roman"/>
          <w:b/>
          <w:bCs/>
          <w:i/>
          <w:iCs/>
          <w:lang w:val="es-419"/>
        </w:rPr>
        <w:t xml:space="preserve">Canada Organic </w:t>
      </w:r>
      <w:r w:rsidR="000A0EAC" w:rsidRPr="227E1361">
        <w:rPr>
          <w:rFonts w:eastAsia="Times New Roman"/>
          <w:b/>
          <w:bCs/>
          <w:i/>
          <w:iCs/>
          <w:lang w:val="es-419"/>
        </w:rPr>
        <w:t>Regime</w:t>
      </w:r>
      <w:r w:rsidRPr="227E1361">
        <w:rPr>
          <w:rFonts w:eastAsia="Times New Roman"/>
          <w:b/>
          <w:bCs/>
          <w:i/>
          <w:iCs/>
          <w:lang w:val="es-419"/>
        </w:rPr>
        <w:t xml:space="preserve"> (CO</w:t>
      </w:r>
      <w:r w:rsidR="000A0EAC" w:rsidRPr="227E1361">
        <w:rPr>
          <w:rFonts w:eastAsia="Times New Roman"/>
          <w:b/>
          <w:bCs/>
          <w:i/>
          <w:iCs/>
          <w:lang w:val="es-419"/>
        </w:rPr>
        <w:t>R</w:t>
      </w:r>
      <w:r w:rsidRPr="227E1361">
        <w:rPr>
          <w:rFonts w:eastAsia="Times New Roman"/>
          <w:b/>
          <w:bCs/>
          <w:i/>
          <w:iCs/>
          <w:lang w:val="es-419"/>
        </w:rPr>
        <w:t>)</w:t>
      </w:r>
      <w:r w:rsidR="00337BBD">
        <w:rPr>
          <w:rFonts w:eastAsia="Times New Roman"/>
          <w:b/>
          <w:bCs/>
          <w:i/>
          <w:iCs/>
          <w:lang w:val="es-419"/>
        </w:rPr>
        <w:br/>
      </w:r>
      <w:r w:rsidR="227E1361" w:rsidRPr="227E1361">
        <w:rPr>
          <w:rFonts w:eastAsia="Tahoma,Times New Roman"/>
        </w:rPr>
        <w:t xml:space="preserve">QCS realiza la certificación según los requisitos del Régimen Orgánico de Canadá (COR) de acuerdo con los requisitos establecidos en las Regulaciones de Alimentos Seguros para los Canadienses Parte 13 - Productos Orgánicos, CAN/CGSB-32.310 y Sistemas de producción orgánicos, Principios generales y estándares de gestión, CAN/CGSB-32.311. Sistema de Producción Orgánica Listas de Sustancias Permitidas, y CAN/CGSB-32.312-2018 Sistemas de producción orgánica Acuicultura – Principios generales, normas de manejo y listas de sustancias permitidas. El manual operativo del Régimen Orgánico de Canadá está disponible en el sitio de web de COR en: </w:t>
      </w:r>
      <w:hyperlink r:id="rId14" w:history="1">
        <w:r w:rsidR="227E1361" w:rsidRPr="227E1361">
          <w:rPr>
            <w:rStyle w:val="Hyperlink"/>
            <w:rFonts w:asciiTheme="minorHAnsi" w:eastAsia="Tahoma,Times New Roman" w:hAnsiTheme="minorHAnsi" w:cstheme="minorBidi"/>
          </w:rPr>
          <w:t>Canadian Food Inspection Agency - Organic products - Canada Organic Regime operating manual</w:t>
        </w:r>
      </w:hyperlink>
    </w:p>
    <w:p w14:paraId="2803BEA1" w14:textId="0030A22E" w:rsidR="00CF204E" w:rsidRPr="00337BBD" w:rsidRDefault="227E1361" w:rsidP="002735CF">
      <w:pPr>
        <w:pStyle w:val="ListParagraph"/>
        <w:numPr>
          <w:ilvl w:val="0"/>
          <w:numId w:val="18"/>
        </w:numPr>
        <w:ind w:left="360"/>
        <w:jc w:val="left"/>
        <w:rPr>
          <w:rFonts w:ascii="Segoe UI" w:eastAsia="Segoe UI" w:hAnsi="Segoe UI" w:cs="Segoe UI"/>
          <w:color w:val="000000" w:themeColor="text1"/>
          <w:sz w:val="24"/>
          <w:szCs w:val="24"/>
          <w:lang w:val="es-419"/>
        </w:rPr>
      </w:pPr>
      <w:r w:rsidRPr="227E1361">
        <w:rPr>
          <w:rFonts w:eastAsia="Times New Roman"/>
          <w:b/>
          <w:bCs/>
          <w:i/>
          <w:iCs/>
        </w:rPr>
        <w:t>Directorio de Clientes de</w:t>
      </w:r>
      <w:r w:rsidRPr="00FE7F19">
        <w:rPr>
          <w:b/>
          <w:bCs/>
          <w:i/>
          <w:iCs/>
        </w:rPr>
        <w:t xml:space="preserve"> Servicios de Certificación de Calidad </w:t>
      </w:r>
      <w:r w:rsidR="00337BBD">
        <w:rPr>
          <w:b/>
          <w:bCs/>
          <w:i/>
          <w:iCs/>
        </w:rPr>
        <w:br/>
      </w:r>
      <w:r w:rsidR="00040FB8">
        <w:rPr>
          <w:rFonts w:eastAsia="Times New Roman"/>
        </w:rPr>
        <w:t>La base de datos de integridad orgánica (Organic Integrity Database, OID) del USDA</w:t>
      </w:r>
      <w:r w:rsidR="00C27F89">
        <w:rPr>
          <w:rFonts w:eastAsia="Times New Roman"/>
        </w:rPr>
        <w:t xml:space="preserve"> enumera todas las operaciones certificadas a</w:t>
      </w:r>
      <w:r w:rsidR="00327CFF">
        <w:rPr>
          <w:rFonts w:eastAsia="Times New Roman"/>
        </w:rPr>
        <w:t>nte el</w:t>
      </w:r>
      <w:r w:rsidR="00C27F89">
        <w:rPr>
          <w:rFonts w:eastAsia="Times New Roman"/>
        </w:rPr>
        <w:t xml:space="preserve"> USDA NOP por QCS</w:t>
      </w:r>
      <w:r w:rsidR="00B10910">
        <w:rPr>
          <w:rFonts w:eastAsia="Times New Roman"/>
        </w:rPr>
        <w:t xml:space="preserve">; </w:t>
      </w:r>
      <w:r w:rsidR="00327CFF">
        <w:rPr>
          <w:rFonts w:eastAsia="Times New Roman"/>
        </w:rPr>
        <w:t xml:space="preserve">así como </w:t>
      </w:r>
      <w:r w:rsidR="003B5A1D">
        <w:rPr>
          <w:rFonts w:eastAsia="Times New Roman"/>
        </w:rPr>
        <w:t xml:space="preserve">las </w:t>
      </w:r>
      <w:r w:rsidR="00B10910">
        <w:rPr>
          <w:rFonts w:eastAsia="Times New Roman"/>
        </w:rPr>
        <w:t xml:space="preserve">operaciones </w:t>
      </w:r>
      <w:r w:rsidR="003B5A1D">
        <w:rPr>
          <w:rFonts w:eastAsia="Times New Roman"/>
        </w:rPr>
        <w:t xml:space="preserve">cuya certificación ha sido </w:t>
      </w:r>
      <w:r w:rsidR="00D72D5D">
        <w:rPr>
          <w:rFonts w:eastAsia="Times New Roman"/>
        </w:rPr>
        <w:t>retirada</w:t>
      </w:r>
      <w:r w:rsidR="003B5A1D">
        <w:rPr>
          <w:rFonts w:eastAsia="Times New Roman"/>
        </w:rPr>
        <w:t xml:space="preserve"> (surrendered), suspendida (su</w:t>
      </w:r>
      <w:r w:rsidR="003F4108">
        <w:rPr>
          <w:rFonts w:eastAsia="Times New Roman"/>
        </w:rPr>
        <w:t xml:space="preserve">spended), o revocada (revoked). </w:t>
      </w:r>
      <w:r w:rsidRPr="00337BBD">
        <w:rPr>
          <w:rFonts w:eastAsia="Times New Roman"/>
        </w:rPr>
        <w:t xml:space="preserve">El sitio web de QCS también ofrece acceso a cualquier parte interesada a una lista de clientes certificados por QCS enumerados por el esquema relevante de certificación. Si no se encuentra en el sitio web, solicite un directorio de QCS. </w:t>
      </w:r>
    </w:p>
    <w:p w14:paraId="582089D9" w14:textId="0A63FE3F" w:rsidR="0096619D" w:rsidRPr="00F91DD0" w:rsidRDefault="227E1361" w:rsidP="00266915">
      <w:pPr>
        <w:pStyle w:val="Heading2"/>
        <w:rPr>
          <w:lang w:val="es-419"/>
        </w:rPr>
      </w:pPr>
      <w:r w:rsidRPr="227E1361">
        <w:lastRenderedPageBreak/>
        <w:t>Normas de conducta de QCS</w:t>
      </w:r>
    </w:p>
    <w:p w14:paraId="75B9752D" w14:textId="61F9A5DC" w:rsidR="002460D9" w:rsidRPr="00F91DD0" w:rsidRDefault="227E1361" w:rsidP="0033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lang w:val="es-419"/>
        </w:rPr>
      </w:pPr>
      <w:r w:rsidRPr="227E1361">
        <w:rPr>
          <w:rFonts w:ascii="Calibri" w:eastAsia="Times New Roman" w:hAnsi="Calibri" w:cs="Calibri"/>
        </w:rPr>
        <w:t xml:space="preserve">QCS se compromete a llevar a cabo sus asuntos comerciales con los más altos estándares de honestidad e integridad. Como tal, QCS espera que todo el personal y los clientes se comporten de manera profesional. Involucrarse en cualquier conducta que QCS considere una violación de nuestros Estándares de Conducta puede resultar en una acción disciplinaria u otra que se considere apropiada, que incluye, </w:t>
      </w:r>
      <w:r>
        <w:t xml:space="preserve">pero no limitado a, </w:t>
      </w:r>
      <w:r w:rsidRPr="227E1361">
        <w:rPr>
          <w:rFonts w:ascii="Calibri" w:eastAsia="Times New Roman" w:hAnsi="Calibri" w:cs="Calibri"/>
        </w:rPr>
        <w:t>la terminación, el incumplimiento, la interrupción del servicio o el rechazo de una solicitud de certificación.</w:t>
      </w:r>
    </w:p>
    <w:p w14:paraId="02AE2AED" w14:textId="39EBCE97" w:rsidR="002460D9" w:rsidRPr="00F91DD0" w:rsidRDefault="227E1361" w:rsidP="0033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lang w:val="es-419"/>
        </w:rPr>
      </w:pPr>
      <w:r w:rsidRPr="227E1361">
        <w:rPr>
          <w:rFonts w:ascii="Calibri" w:eastAsia="Times New Roman" w:hAnsi="Calibri" w:cs="Calibri"/>
        </w:rPr>
        <w:t>Los siguientes son ejemplos de conducta que pueden considerarse una violación de nuestros Estándares de Conducta:</w:t>
      </w:r>
    </w:p>
    <w:p w14:paraId="0DEE203A" w14:textId="172EA257" w:rsidR="002460D9" w:rsidRPr="00F91DD0" w:rsidRDefault="227E1361" w:rsidP="002735CF">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Calibri" w:eastAsia="Times New Roman" w:hAnsi="Calibri" w:cs="Calibri"/>
          <w:lang w:val="es-419"/>
        </w:rPr>
      </w:pPr>
      <w:r w:rsidRPr="227E1361">
        <w:rPr>
          <w:rFonts w:ascii="Calibri" w:eastAsia="Times New Roman" w:hAnsi="Calibri" w:cs="Calibri"/>
        </w:rPr>
        <w:t xml:space="preserve">Comportamiento, lenguaje o conducta considerados ofensivos, amenazantes, vulgares o abusivos y / o insinuaciones inapropiadas de naturaleza sexual o de otro tipo dirigidas a cualquier miembro del personal de QCS o cliente de QCS; </w:t>
      </w:r>
    </w:p>
    <w:p w14:paraId="4DB38FC5" w14:textId="77777777" w:rsidR="002460D9" w:rsidRPr="00F91DD0" w:rsidRDefault="227E1361" w:rsidP="002735CF">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Calibri" w:eastAsia="Times New Roman" w:hAnsi="Calibri" w:cs="Calibri"/>
          <w:lang w:val="es-419"/>
        </w:rPr>
      </w:pPr>
      <w:r w:rsidRPr="227E1361">
        <w:rPr>
          <w:rFonts w:ascii="Calibri" w:eastAsia="Times New Roman" w:hAnsi="Calibri" w:cs="Calibri"/>
        </w:rPr>
        <w:t xml:space="preserve">Deshonestidad o falsificación de cualquier registro proporcionado a QCS; </w:t>
      </w:r>
    </w:p>
    <w:p w14:paraId="0270C400" w14:textId="77777777" w:rsidR="002460D9" w:rsidRPr="00F91DD0" w:rsidRDefault="227E1361" w:rsidP="002735CF">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Calibri" w:eastAsia="Times New Roman" w:hAnsi="Calibri" w:cs="Calibri"/>
          <w:lang w:val="es-419"/>
        </w:rPr>
      </w:pPr>
      <w:r w:rsidRPr="227E1361">
        <w:rPr>
          <w:rFonts w:ascii="Calibri" w:eastAsia="Times New Roman" w:hAnsi="Calibri" w:cs="Calibri"/>
        </w:rPr>
        <w:t xml:space="preserve">Uso o posesión no autorizados de propiedad de QCS; </w:t>
      </w:r>
    </w:p>
    <w:p w14:paraId="4A40E631" w14:textId="7316A6E3" w:rsidR="002460D9" w:rsidRPr="00F91DD0" w:rsidRDefault="227E1361" w:rsidP="002735CF">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Calibri" w:eastAsia="Times New Roman" w:hAnsi="Calibri" w:cs="Calibri"/>
          <w:lang w:val="es-419"/>
        </w:rPr>
      </w:pPr>
      <w:r w:rsidRPr="227E1361">
        <w:rPr>
          <w:rFonts w:ascii="Calibri" w:eastAsia="Times New Roman" w:hAnsi="Calibri" w:cs="Calibri"/>
        </w:rPr>
        <w:t>Discriminación o acoso de clientes o personal; y / o</w:t>
      </w:r>
    </w:p>
    <w:p w14:paraId="3DDB7355" w14:textId="32503653" w:rsidR="002460D9" w:rsidRPr="00F91DD0" w:rsidRDefault="227E1361" w:rsidP="002735CF">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Calibri" w:eastAsia="Times New Roman" w:hAnsi="Calibri" w:cs="Calibri"/>
          <w:lang w:val="es-419"/>
        </w:rPr>
      </w:pPr>
      <w:r w:rsidRPr="227E1361">
        <w:rPr>
          <w:rFonts w:ascii="Calibri" w:eastAsia="Times New Roman" w:hAnsi="Calibri" w:cs="Calibri"/>
        </w:rPr>
        <w:t>Participar en actividades fuera de las leyes, reglamentos y políticas de QCS aplicables</w:t>
      </w:r>
    </w:p>
    <w:p w14:paraId="57856C34" w14:textId="5A0E85BD" w:rsidR="002460D9" w:rsidRPr="00F91DD0" w:rsidRDefault="227E1361" w:rsidP="00B97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lang w:val="es-419"/>
        </w:rPr>
      </w:pPr>
      <w:r w:rsidRPr="227E1361">
        <w:rPr>
          <w:rFonts w:ascii="Calibri" w:eastAsia="Times New Roman" w:hAnsi="Calibri" w:cs="Calibri"/>
        </w:rPr>
        <w:t xml:space="preserve">Dado que el entorno de inspección y certificación constituye un lugar de trabajo, las pautas y los estatutos de un lugar de trabajo seguro se aplican a todos los clientes y al personal. </w:t>
      </w:r>
    </w:p>
    <w:p w14:paraId="65235CF6" w14:textId="632CB329" w:rsidR="00BE5CC6" w:rsidRPr="00BE5CC6" w:rsidRDefault="227E1361" w:rsidP="00A44F04">
      <w:pPr>
        <w:pStyle w:val="Heading2"/>
        <w:rPr>
          <w:lang w:val="es-419"/>
        </w:rPr>
      </w:pPr>
      <w:r w:rsidRPr="227E1361">
        <w:t>Asistencia técnica</w:t>
      </w:r>
    </w:p>
    <w:p w14:paraId="453DEBD0" w14:textId="5673B7CE" w:rsidR="007E2627" w:rsidRDefault="227E1361" w:rsidP="00A44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E7F19">
        <w:rPr>
          <w:rFonts w:eastAsia="Times New Roman"/>
        </w:rPr>
        <w:t>Como organismo de certificación orgánica, QCS puede brindar asistencia técnica: información para ayudar a las operaciones a comprender las reglamentaciones orgánicas, inclu</w:t>
      </w:r>
      <w:r w:rsidRPr="227E1361">
        <w:rPr>
          <w:rFonts w:eastAsia="Times New Roman"/>
        </w:rPr>
        <w:t>yendo</w:t>
      </w:r>
      <w:r w:rsidRPr="00FE7F19">
        <w:rPr>
          <w:rFonts w:eastAsia="Times New Roman"/>
        </w:rPr>
        <w:t xml:space="preserve"> los recursos disponibles públicamente. La asistencia técnica que brinda QCS se limita a información general que no es específica o propietaria de una sola operación. QCS no brinda asesoramiento ni brinda servicios de consultoría a los solicitantes de certificación u operaciones certificadas para superar las barreras identificadas para la certificación. QCS y sus representantes, incluidos los empleados y contratistas, no pueden sugerir cambios en el plan del sistema orgánico ni brindar asesoramiento sobre cómo una operación específica puede superar las barreras a la certificación. Cualquier asistencia técnica que proporcione QCS está disponible para todas las operaciones. QCS se asegura de que sus empleados sigan este requisito al incorporar este requisito en la capacitación de incorporación de todos los empleados y al mantener activos los formularios de conflicto de inter</w:t>
      </w:r>
      <w:r w:rsidRPr="227E1361">
        <w:rPr>
          <w:rFonts w:eastAsia="Times New Roman"/>
        </w:rPr>
        <w:t>és</w:t>
      </w:r>
      <w:r w:rsidRPr="00FE7F19">
        <w:rPr>
          <w:rFonts w:eastAsia="Times New Roman"/>
        </w:rPr>
        <w:t xml:space="preserve"> (consulte la sección Riesgos de los </w:t>
      </w:r>
      <w:r w:rsidRPr="227E1361">
        <w:rPr>
          <w:rFonts w:eastAsia="Times New Roman"/>
        </w:rPr>
        <w:t>P</w:t>
      </w:r>
      <w:r w:rsidRPr="00FE7F19">
        <w:rPr>
          <w:rFonts w:eastAsia="Times New Roman"/>
        </w:rPr>
        <w:t xml:space="preserve">rogramas y </w:t>
      </w:r>
      <w:r w:rsidRPr="227E1361">
        <w:rPr>
          <w:rFonts w:eastAsia="Times New Roman"/>
        </w:rPr>
        <w:t>S</w:t>
      </w:r>
      <w:r w:rsidRPr="00FE7F19">
        <w:rPr>
          <w:rFonts w:eastAsia="Times New Roman"/>
        </w:rPr>
        <w:t xml:space="preserve">ervicios de </w:t>
      </w:r>
      <w:r w:rsidRPr="227E1361">
        <w:rPr>
          <w:rFonts w:eastAsia="Times New Roman"/>
        </w:rPr>
        <w:t>C</w:t>
      </w:r>
      <w:r w:rsidRPr="00FE7F19">
        <w:rPr>
          <w:rFonts w:eastAsia="Times New Roman"/>
        </w:rPr>
        <w:t>ertificación de QCS)</w:t>
      </w:r>
      <w:r w:rsidR="00661164">
        <w:rPr>
          <w:rFonts w:eastAsia="Times New Roman"/>
        </w:rPr>
        <w:t xml:space="preserve">. </w:t>
      </w:r>
    </w:p>
    <w:p w14:paraId="20754A14" w14:textId="44E550F3" w:rsidR="003F4108" w:rsidRDefault="00494156" w:rsidP="007C4F17">
      <w:pPr>
        <w:pStyle w:val="Heading2"/>
      </w:pPr>
      <w:r w:rsidRPr="00494156">
        <w:t>Informes de fraude</w:t>
      </w:r>
    </w:p>
    <w:p w14:paraId="12684309" w14:textId="55D83A17" w:rsidR="003600A6" w:rsidRPr="00C4085E" w:rsidRDefault="00783FBF" w:rsidP="00966C35">
      <w:pPr>
        <w:rPr>
          <w:rFonts w:eastAsia="Times New Roman"/>
        </w:rPr>
      </w:pPr>
      <w:r w:rsidRPr="00783FBF">
        <w:t>QCS informa todas las pruebas creíbles de fraude orgánico al propietario del sistema correspondiente. El fraude orgánico relacionado con el NOP del USDA se informa al Administrador a través del Portal de quejas en línea del NOP del USDA</w:t>
      </w:r>
      <w:r>
        <w:t xml:space="preserve">. </w:t>
      </w:r>
      <w:r w:rsidR="003600A6" w:rsidRPr="00C4085E">
        <w:rPr>
          <w:rFonts w:eastAsia="Times New Roman"/>
        </w:rPr>
        <w:br w:type="page"/>
      </w:r>
    </w:p>
    <w:p w14:paraId="5FD2A220" w14:textId="1CA071A8" w:rsidR="00CF204E" w:rsidRPr="00F91DD0" w:rsidRDefault="227E1361" w:rsidP="00CA74F2">
      <w:pPr>
        <w:pStyle w:val="Heading1"/>
        <w:spacing w:before="0" w:after="240" w:line="240" w:lineRule="auto"/>
        <w:rPr>
          <w:b w:val="0"/>
          <w:bCs/>
          <w:sz w:val="28"/>
          <w:szCs w:val="28"/>
          <w:lang w:val="es-419"/>
        </w:rPr>
      </w:pPr>
      <w:bookmarkStart w:id="21" w:name="_Toc277166673"/>
      <w:bookmarkStart w:id="22" w:name="_Toc474161816"/>
      <w:bookmarkStart w:id="23" w:name="_Toc474161842"/>
      <w:bookmarkStart w:id="24" w:name="_Toc500935025"/>
      <w:bookmarkStart w:id="25" w:name="_Toc159414640"/>
      <w:r w:rsidRPr="227E1361">
        <w:rPr>
          <w:szCs w:val="40"/>
        </w:rPr>
        <w:lastRenderedPageBreak/>
        <w:t>03 Categorías</w:t>
      </w:r>
      <w:bookmarkEnd w:id="21"/>
      <w:bookmarkEnd w:id="22"/>
      <w:bookmarkEnd w:id="23"/>
      <w:bookmarkEnd w:id="24"/>
      <w:r w:rsidRPr="227E1361">
        <w:rPr>
          <w:szCs w:val="40"/>
        </w:rPr>
        <w:t xml:space="preserve"> de Certificación</w:t>
      </w:r>
      <w:bookmarkEnd w:id="25"/>
    </w:p>
    <w:p w14:paraId="2EA283D0" w14:textId="2E5107AE" w:rsidR="00CF204E" w:rsidRPr="00F91DD0" w:rsidRDefault="227E1361" w:rsidP="00966C35">
      <w:pPr>
        <w:spacing w:line="240" w:lineRule="auto"/>
        <w:rPr>
          <w:rFonts w:eastAsia="Times New Roman"/>
          <w:lang w:val="es-419"/>
        </w:rPr>
      </w:pPr>
      <w:r w:rsidRPr="227E1361">
        <w:rPr>
          <w:rFonts w:eastAsia="Times New Roman"/>
        </w:rPr>
        <w:t xml:space="preserve">QCS se especializa en determinar la certificación orgánica y el reconocimiento de exportación orgánica para las siguientes operaciones basadas en la agricultura. </w:t>
      </w:r>
    </w:p>
    <w:p w14:paraId="544279F7" w14:textId="5596860F" w:rsidR="00CF204E" w:rsidRPr="00F91DD0" w:rsidRDefault="227E1361" w:rsidP="00966C35">
      <w:pPr>
        <w:spacing w:before="120" w:line="240" w:lineRule="auto"/>
        <w:rPr>
          <w:rFonts w:eastAsia="Times New Roman"/>
          <w:b/>
          <w:bCs/>
          <w:lang w:val="es-419"/>
        </w:rPr>
      </w:pPr>
      <w:r w:rsidRPr="227E1361">
        <w:rPr>
          <w:rFonts w:eastAsia="Times New Roman"/>
          <w:b/>
          <w:bCs/>
        </w:rPr>
        <w:t xml:space="preserve">Granja </w:t>
      </w:r>
    </w:p>
    <w:p w14:paraId="154DDCB0" w14:textId="1D5505E1" w:rsidR="00CF204E" w:rsidRPr="00F91DD0" w:rsidRDefault="227E1361" w:rsidP="00966C35">
      <w:pPr>
        <w:spacing w:line="240" w:lineRule="auto"/>
        <w:rPr>
          <w:rFonts w:eastAsia="Times New Roman"/>
          <w:lang w:val="es-419"/>
        </w:rPr>
      </w:pPr>
      <w:r w:rsidRPr="227E1361">
        <w:rPr>
          <w:rFonts w:eastAsia="Times New Roman"/>
        </w:rPr>
        <w:t>Una granja es una operación que se dedica al negocio de cultivar o producir alimentos, fibra y otros productos de consumo agrícolas.</w:t>
      </w:r>
    </w:p>
    <w:p w14:paraId="207482C0" w14:textId="46B980FF" w:rsidR="00CF204E" w:rsidRPr="00F91DD0" w:rsidRDefault="227E1361" w:rsidP="00966C35">
      <w:pPr>
        <w:spacing w:before="120" w:line="240" w:lineRule="auto"/>
        <w:rPr>
          <w:rFonts w:eastAsia="Times New Roman"/>
          <w:b/>
          <w:bCs/>
          <w:lang w:val="es-419"/>
        </w:rPr>
      </w:pPr>
      <w:r w:rsidRPr="227E1361">
        <w:rPr>
          <w:rFonts w:eastAsia="Times New Roman"/>
          <w:b/>
          <w:bCs/>
        </w:rPr>
        <w:t xml:space="preserve">Ganadería </w:t>
      </w:r>
    </w:p>
    <w:p w14:paraId="30C8B3D4" w14:textId="41750A9C" w:rsidR="00CF204E" w:rsidRPr="00F91DD0" w:rsidRDefault="227E1361" w:rsidP="00966C35">
      <w:pPr>
        <w:spacing w:line="240" w:lineRule="auto"/>
        <w:rPr>
          <w:rFonts w:eastAsia="Times New Roman"/>
          <w:lang w:val="es-419"/>
        </w:rPr>
      </w:pPr>
      <w:r w:rsidRPr="227E1361">
        <w:rPr>
          <w:rFonts w:eastAsia="Times New Roman"/>
        </w:rPr>
        <w:t>Ganadería se refiere a la producción de cualquier ganado bovino, ovino, caprino, porcino, avícola o equino utilizado para alimento o en la producción de alimentos, fibra, piensos u otros productos de consumo basados en la agricultura; animales de caza salvajes o domesticados; u otro tipo de organismos no-vegetales (por ejemplo, colmenas), excepto que dicho término no puede incluir animales acuáticos para la producción de alimentos, fibra, piensos u otros productos de consumo agrícolas.</w:t>
      </w:r>
    </w:p>
    <w:p w14:paraId="1C34668A" w14:textId="1BC74547" w:rsidR="00CF204E" w:rsidRPr="00F91DD0" w:rsidRDefault="227E1361" w:rsidP="00966C35">
      <w:pPr>
        <w:spacing w:before="120" w:line="240" w:lineRule="auto"/>
        <w:rPr>
          <w:rFonts w:eastAsia="Times New Roman"/>
          <w:b/>
          <w:bCs/>
          <w:lang w:val="es-419"/>
        </w:rPr>
      </w:pPr>
      <w:r w:rsidRPr="227E1361">
        <w:rPr>
          <w:rFonts w:eastAsia="Times New Roman"/>
          <w:b/>
          <w:bCs/>
        </w:rPr>
        <w:t>Recolección de Productos Silvestres</w:t>
      </w:r>
    </w:p>
    <w:p w14:paraId="214E8D5B" w14:textId="4EAC4B98" w:rsidR="00CF204E" w:rsidRPr="00F91DD0" w:rsidRDefault="227E1361" w:rsidP="00966C35">
      <w:pPr>
        <w:spacing w:line="240" w:lineRule="auto"/>
        <w:rPr>
          <w:rFonts w:eastAsia="Times New Roman"/>
          <w:lang w:val="es-419"/>
        </w:rPr>
      </w:pPr>
      <w:r w:rsidRPr="227E1361">
        <w:rPr>
          <w:rFonts w:eastAsia="Times New Roman"/>
        </w:rPr>
        <w:t>Cultivo Silvestre es cualquier planta o porción de una planta que se recolecta o cosecha de un sitio que no se mantiene bajo cultivo u otro manejo agrícola.</w:t>
      </w:r>
    </w:p>
    <w:p w14:paraId="396690F4" w14:textId="0AA1DBF9" w:rsidR="00CF204E" w:rsidRPr="00F91DD0" w:rsidRDefault="227E1361" w:rsidP="00966C35">
      <w:pPr>
        <w:spacing w:before="120" w:line="240" w:lineRule="auto"/>
        <w:rPr>
          <w:rFonts w:eastAsia="Times New Roman"/>
          <w:b/>
          <w:bCs/>
          <w:lang w:val="es-419"/>
        </w:rPr>
      </w:pPr>
      <w:r w:rsidRPr="227E1361">
        <w:rPr>
          <w:rFonts w:eastAsia="Times New Roman"/>
          <w:b/>
          <w:bCs/>
        </w:rPr>
        <w:t>Manipulador</w:t>
      </w:r>
    </w:p>
    <w:p w14:paraId="2ED3AA26" w14:textId="097E3952" w:rsidR="00CF204E" w:rsidRPr="00F91DD0" w:rsidRDefault="227E1361" w:rsidP="00966C35">
      <w:pPr>
        <w:spacing w:line="240" w:lineRule="auto"/>
        <w:rPr>
          <w:rFonts w:eastAsia="Times New Roman"/>
          <w:lang w:val="es-419"/>
        </w:rPr>
      </w:pPr>
      <w:r w:rsidRPr="227E1361">
        <w:rPr>
          <w:rFonts w:eastAsia="Times New Roman"/>
        </w:rPr>
        <w:t>Un manipulador es cualquier operación dedicada al negocio de la manipulación de productos agrícolas, incluidos los productores que manejan cultivos o ganado de su propia producción, excepto que dicho término no incluye a los minoristas finales de productos agrícolas que no procesan productos agrícolas.</w:t>
      </w:r>
    </w:p>
    <w:p w14:paraId="0B8D9A49" w14:textId="7E808FDB" w:rsidR="00CF204E" w:rsidRPr="00F91DD0" w:rsidRDefault="227E1361" w:rsidP="00966C35">
      <w:pPr>
        <w:spacing w:before="120" w:line="240" w:lineRule="auto"/>
        <w:rPr>
          <w:rFonts w:eastAsia="Times New Roman"/>
          <w:b/>
          <w:bCs/>
          <w:lang w:val="es-419"/>
        </w:rPr>
      </w:pPr>
      <w:r w:rsidRPr="227E1361">
        <w:rPr>
          <w:rFonts w:eastAsia="Times New Roman"/>
          <w:b/>
          <w:bCs/>
        </w:rPr>
        <w:t>Elaborador/Fabricante de Alimentos</w:t>
      </w:r>
    </w:p>
    <w:p w14:paraId="5264ABCC" w14:textId="59F2AA64" w:rsidR="00CF204E" w:rsidRPr="00F91DD0" w:rsidRDefault="227E1361" w:rsidP="00966C35">
      <w:pPr>
        <w:spacing w:line="240" w:lineRule="auto"/>
        <w:rPr>
          <w:rFonts w:eastAsia="Times New Roman"/>
          <w:lang w:val="es-419"/>
        </w:rPr>
      </w:pPr>
      <w:r w:rsidRPr="227E1361">
        <w:rPr>
          <w:rFonts w:eastAsia="Times New Roman"/>
        </w:rPr>
        <w:t>Un elaborador de alimentos es cualquier operación o entidad involucrada en cocinar, hornear, curar, calentar, secar, mezclar, moler, batir, separar, extraer, sacrificar, cortar, fermentar, destilar, eviscerar, preservar, deshidratar, congelar, enfriar o transformar de cualquier otro modo, e incluye el embalaje, enlatado, envasar o embalar productos en un contenedor.</w:t>
      </w:r>
    </w:p>
    <w:p w14:paraId="07D6F347" w14:textId="0E2F8F51" w:rsidR="001211C5" w:rsidRPr="00F91DD0" w:rsidRDefault="227E1361" w:rsidP="00966C35">
      <w:pPr>
        <w:spacing w:before="120" w:line="240" w:lineRule="auto"/>
        <w:rPr>
          <w:rFonts w:eastAsia="Times New Roman"/>
          <w:b/>
          <w:bCs/>
          <w:lang w:val="es-419"/>
        </w:rPr>
      </w:pPr>
      <w:r w:rsidRPr="227E1361">
        <w:rPr>
          <w:rFonts w:eastAsia="Times New Roman"/>
          <w:b/>
          <w:bCs/>
        </w:rPr>
        <w:t>Acuacultura</w:t>
      </w:r>
    </w:p>
    <w:p w14:paraId="5C3F8C96" w14:textId="6A9EFC11" w:rsidR="001211C5" w:rsidRPr="00F91DD0" w:rsidRDefault="227E1361" w:rsidP="00966C35">
      <w:pPr>
        <w:spacing w:line="240" w:lineRule="auto"/>
        <w:rPr>
          <w:rFonts w:eastAsia="Times New Roman"/>
          <w:lang w:val="es-419"/>
        </w:rPr>
      </w:pPr>
      <w:r w:rsidRPr="227E1361">
        <w:rPr>
          <w:rFonts w:eastAsia="Times New Roman"/>
        </w:rPr>
        <w:t xml:space="preserve">La acuicultura/acuacultura es una operación que se dedica al negocio de cultivar o producir animales o plantas acuáticos. Las operaciones para esta categoría pueden certificarse bajo el Reglamento (UE) 2018-848, el Régimen Orgánico de Canadá (COR), el Estándar de Certificación Orgánica DEFRA del Reino Unido, el programa de Requisitos Extra KRAV o los estándares privados de Bio Suisse. </w:t>
      </w:r>
    </w:p>
    <w:p w14:paraId="013223DB" w14:textId="308206E5" w:rsidR="00CF204E" w:rsidRPr="00F91DD0" w:rsidRDefault="227E1361" w:rsidP="00966C35">
      <w:pPr>
        <w:spacing w:before="120" w:line="240" w:lineRule="auto"/>
        <w:rPr>
          <w:rFonts w:eastAsia="Times New Roman" w:cs="Tahoma"/>
          <w:b/>
          <w:bCs/>
          <w:lang w:val="es-419"/>
        </w:rPr>
      </w:pPr>
      <w:r w:rsidRPr="227E1361">
        <w:rPr>
          <w:rFonts w:eastAsia="Times New Roman" w:cs="Tahoma"/>
          <w:b/>
          <w:bCs/>
        </w:rPr>
        <w:t xml:space="preserve">Grupo de Productores </w:t>
      </w:r>
    </w:p>
    <w:p w14:paraId="4549F42D" w14:textId="0A46EE42" w:rsidR="00DC018B" w:rsidRPr="00DC018B" w:rsidRDefault="227E1361" w:rsidP="00966C35">
      <w:pPr>
        <w:spacing w:line="240" w:lineRule="auto"/>
        <w:rPr>
          <w:rFonts w:eastAsia="Calibri"/>
          <w:lang w:val="es-419"/>
        </w:rPr>
      </w:pPr>
      <w:r w:rsidRPr="227E1361">
        <w:rPr>
          <w:rFonts w:eastAsia="Calibri"/>
        </w:rPr>
        <w:t xml:space="preserve">Una operación de grupo de productores se define como un productor, organizado como una persona, que consta de miembros del grupo de productores y unidades de producción en proximidad geográfica regidas por un sistema de interno de control bajo un </w:t>
      </w:r>
      <w:r w:rsidR="00C04921">
        <w:rPr>
          <w:rFonts w:eastAsia="Calibri"/>
        </w:rPr>
        <w:t>plan de sistema orgánico</w:t>
      </w:r>
      <w:r w:rsidRPr="227E1361">
        <w:rPr>
          <w:rFonts w:eastAsia="Calibri"/>
        </w:rPr>
        <w:t xml:space="preserve"> y certificación.</w:t>
      </w:r>
    </w:p>
    <w:p w14:paraId="44267A6D" w14:textId="59C27338" w:rsidR="00CF204E" w:rsidRPr="00F91DD0" w:rsidRDefault="227E1361" w:rsidP="00966C35">
      <w:pPr>
        <w:spacing w:line="240" w:lineRule="auto"/>
        <w:rPr>
          <w:rFonts w:eastAsia="Calibri"/>
          <w:lang w:val="es-419"/>
        </w:rPr>
      </w:pPr>
      <w:r w:rsidRPr="227E1361">
        <w:rPr>
          <w:rFonts w:eastAsia="Calibri"/>
        </w:rPr>
        <w:t xml:space="preserve">QCS determina cuántos productores (sub-unidades) deben ser re-inspeccionados por QCS considerando lo siguiente: </w:t>
      </w:r>
    </w:p>
    <w:p w14:paraId="225C9B4B" w14:textId="63EE4C91" w:rsidR="0088149B" w:rsidRPr="00F91DD0" w:rsidRDefault="227E1361" w:rsidP="00966C35">
      <w:pPr>
        <w:spacing w:after="0" w:line="240" w:lineRule="auto"/>
        <w:ind w:left="720" w:hanging="360"/>
        <w:contextualSpacing/>
        <w:rPr>
          <w:rFonts w:eastAsia="Calibri"/>
          <w:lang w:val="es-419"/>
        </w:rPr>
      </w:pPr>
      <w:r w:rsidRPr="227E1361">
        <w:rPr>
          <w:rFonts w:eastAsia="Calibri"/>
        </w:rPr>
        <w:t>•</w:t>
      </w:r>
      <w:r w:rsidR="0088149B">
        <w:tab/>
      </w:r>
      <w:r w:rsidRPr="227E1361">
        <w:rPr>
          <w:rFonts w:eastAsia="Calibri"/>
        </w:rPr>
        <w:t>El número de operaciones que participan en el grupo de productores;</w:t>
      </w:r>
    </w:p>
    <w:p w14:paraId="55BE4B43" w14:textId="0225BB66" w:rsidR="0088149B" w:rsidRPr="00F91DD0" w:rsidRDefault="227E1361" w:rsidP="002735CF">
      <w:pPr>
        <w:pStyle w:val="ListParagraph"/>
        <w:numPr>
          <w:ilvl w:val="0"/>
          <w:numId w:val="24"/>
        </w:numPr>
        <w:spacing w:after="0" w:line="240" w:lineRule="auto"/>
        <w:rPr>
          <w:rFonts w:eastAsia="Calibri"/>
          <w:lang w:val="es-419"/>
        </w:rPr>
      </w:pPr>
      <w:r w:rsidRPr="227E1361">
        <w:rPr>
          <w:rFonts w:eastAsia="Calibri"/>
        </w:rPr>
        <w:t>El tamaño de la operación promedio en el grupo de productores;</w:t>
      </w:r>
    </w:p>
    <w:p w14:paraId="005A19F8" w14:textId="6E3BB4BC" w:rsidR="0088149B" w:rsidRPr="00F91DD0" w:rsidRDefault="227E1361" w:rsidP="002735CF">
      <w:pPr>
        <w:pStyle w:val="ListParagraph"/>
        <w:numPr>
          <w:ilvl w:val="0"/>
          <w:numId w:val="24"/>
        </w:numPr>
        <w:spacing w:after="0" w:line="240" w:lineRule="auto"/>
        <w:rPr>
          <w:rFonts w:eastAsia="Calibri"/>
          <w:lang w:val="es-419"/>
        </w:rPr>
      </w:pPr>
      <w:r w:rsidRPr="227E1361">
        <w:rPr>
          <w:rFonts w:eastAsia="Calibri"/>
        </w:rPr>
        <w:t>El grado de uniformidad entre las operaciones del grupo;</w:t>
      </w:r>
    </w:p>
    <w:p w14:paraId="1BA2DD4B" w14:textId="64652163" w:rsidR="0088149B" w:rsidRPr="00F91DD0" w:rsidRDefault="227E1361" w:rsidP="002735CF">
      <w:pPr>
        <w:pStyle w:val="ListParagraph"/>
        <w:numPr>
          <w:ilvl w:val="0"/>
          <w:numId w:val="24"/>
        </w:numPr>
        <w:spacing w:after="0" w:line="240" w:lineRule="auto"/>
        <w:rPr>
          <w:rFonts w:eastAsia="Calibri"/>
          <w:lang w:val="es-419"/>
        </w:rPr>
      </w:pPr>
      <w:r w:rsidRPr="227E1361">
        <w:rPr>
          <w:rFonts w:eastAsia="Calibri"/>
        </w:rPr>
        <w:t>La complejidad de los sistemas de producción del grupo; y</w:t>
      </w:r>
    </w:p>
    <w:p w14:paraId="3796C419" w14:textId="101779E9" w:rsidR="003600A6" w:rsidRPr="00966C35" w:rsidRDefault="227E1361" w:rsidP="002735CF">
      <w:pPr>
        <w:pStyle w:val="ListParagraph"/>
        <w:numPr>
          <w:ilvl w:val="0"/>
          <w:numId w:val="24"/>
        </w:numPr>
        <w:spacing w:after="0" w:line="240" w:lineRule="auto"/>
        <w:rPr>
          <w:rFonts w:eastAsia="Times New Roman"/>
          <w:lang w:val="es-419"/>
        </w:rPr>
      </w:pPr>
      <w:r w:rsidRPr="227E1361">
        <w:rPr>
          <w:rFonts w:eastAsia="Calibri"/>
        </w:rPr>
        <w:t>La estructura de gestión del sistema de control interno del grupo.</w:t>
      </w:r>
      <w:r w:rsidR="00CB4D22">
        <w:rPr>
          <w:rFonts w:eastAsia="Calibri"/>
        </w:rPr>
        <w:t xml:space="preserve"> </w:t>
      </w:r>
      <w:bookmarkStart w:id="26" w:name="_Toc277166679"/>
      <w:r w:rsidR="003600A6" w:rsidRPr="00966C35">
        <w:rPr>
          <w:rFonts w:eastAsia="Times New Roman"/>
          <w:lang w:val="es-419"/>
        </w:rPr>
        <w:br w:type="page"/>
      </w:r>
    </w:p>
    <w:p w14:paraId="2DEDCBC3" w14:textId="3319FE63" w:rsidR="00CF204E" w:rsidRPr="00F91DD0" w:rsidRDefault="227E1361" w:rsidP="006D3B9F">
      <w:pPr>
        <w:pStyle w:val="Heading1"/>
        <w:spacing w:before="0" w:after="240" w:line="240" w:lineRule="auto"/>
        <w:rPr>
          <w:b w:val="0"/>
          <w:bCs/>
          <w:sz w:val="28"/>
          <w:szCs w:val="28"/>
          <w:lang w:val="es-419"/>
        </w:rPr>
      </w:pPr>
      <w:bookmarkStart w:id="27" w:name="_Toc474161817"/>
      <w:bookmarkStart w:id="28" w:name="_Toc474161843"/>
      <w:bookmarkStart w:id="29" w:name="_Toc500935026"/>
      <w:bookmarkStart w:id="30" w:name="_Toc501615234"/>
      <w:bookmarkStart w:id="31" w:name="_Toc159414641"/>
      <w:r w:rsidRPr="227E1361">
        <w:rPr>
          <w:szCs w:val="40"/>
        </w:rPr>
        <w:lastRenderedPageBreak/>
        <w:t xml:space="preserve">04 </w:t>
      </w:r>
      <w:bookmarkEnd w:id="26"/>
      <w:bookmarkEnd w:id="27"/>
      <w:bookmarkEnd w:id="28"/>
      <w:bookmarkEnd w:id="29"/>
      <w:bookmarkEnd w:id="30"/>
      <w:r w:rsidRPr="227E1361">
        <w:rPr>
          <w:szCs w:val="40"/>
        </w:rPr>
        <w:t>Alcances de la Certificación</w:t>
      </w:r>
      <w:bookmarkEnd w:id="31"/>
    </w:p>
    <w:p w14:paraId="0728C063" w14:textId="4C38AD90" w:rsidR="227E1361" w:rsidRPr="00FE7F19" w:rsidRDefault="227E1361" w:rsidP="00337BBD">
      <w:pPr>
        <w:rPr>
          <w:rFonts w:eastAsia="Times New Roman"/>
        </w:rPr>
      </w:pPr>
      <w:r w:rsidRPr="227E1361">
        <w:rPr>
          <w:rFonts w:eastAsia="Times New Roman"/>
        </w:rPr>
        <w:t>Los solicitantes de QCS deben solicitar la certificación utilizando</w:t>
      </w:r>
      <w:r w:rsidRPr="00FE7F19">
        <w:t xml:space="preserve"> la Aplicación del Plan de Sistema Orgánico de QCS</w:t>
      </w:r>
      <w:r w:rsidRPr="227E1361">
        <w:t>.</w:t>
      </w:r>
    </w:p>
    <w:p w14:paraId="4F1D337A" w14:textId="5F267369" w:rsidR="00235E6E" w:rsidRPr="004E4C82" w:rsidRDefault="227E1361" w:rsidP="00266915">
      <w:pPr>
        <w:pStyle w:val="Heading2"/>
        <w:rPr>
          <w:lang w:val="es-ES"/>
        </w:rPr>
      </w:pPr>
      <w:bookmarkStart w:id="32" w:name="_Toc277166680"/>
      <w:bookmarkStart w:id="33" w:name="_Toc424898858"/>
      <w:bookmarkStart w:id="34" w:name="_Toc424899248"/>
      <w:bookmarkStart w:id="35" w:name="_Toc500935027"/>
      <w:r w:rsidRPr="227E1361">
        <w:t>Regulaciones Orgánicas NOP del USDA</w:t>
      </w:r>
      <w:bookmarkEnd w:id="32"/>
      <w:bookmarkEnd w:id="33"/>
      <w:bookmarkEnd w:id="34"/>
      <w:bookmarkEnd w:id="35"/>
    </w:p>
    <w:p w14:paraId="53F09C46" w14:textId="2F40FCBA" w:rsidR="00CF204E" w:rsidRPr="00B81CBD" w:rsidRDefault="227E1361" w:rsidP="00B97310">
      <w:pPr>
        <w:spacing w:after="80"/>
        <w:rPr>
          <w:rFonts w:eastAsia="Times New Roman"/>
          <w:lang w:val="es-ES"/>
        </w:rPr>
      </w:pPr>
      <w:r w:rsidRPr="227E1361">
        <w:rPr>
          <w:rFonts w:eastAsia="Times New Roman"/>
        </w:rPr>
        <w:t>Como base para la certificación orgánica, QCS opera de acuerdo con la Ley Federal de los EE. UU. Como tal, QCS debe asegurarse de que cualquier tipo de cliente que quiera vender un producto agrícola producido orgánicamente en los Estados Unidos</w:t>
      </w:r>
      <w:proofErr w:type="gramStart"/>
      <w:r w:rsidRPr="00FE7F19">
        <w:t>, ,</w:t>
      </w:r>
      <w:proofErr w:type="gramEnd"/>
      <w:r w:rsidRPr="00FE7F19">
        <w:t xml:space="preserve"> cumpla con las Regulaciones del Programa Nacional Orgánico (NOP) del Departamento de Agricultura de los Estados Unidos (USDA). Todos los productos agrícolas orgánicos importados a los Estados Unidos deben estar certificados en conformidad con las Regulaciones Orgánicas del USDA o por un programa orgánico determinado equivalente al NOP</w:t>
      </w:r>
      <w:r w:rsidR="00D975E1">
        <w:t xml:space="preserve">, </w:t>
      </w:r>
      <w:r w:rsidR="002C6677">
        <w:t xml:space="preserve">como </w:t>
      </w:r>
      <w:r w:rsidR="002C6677" w:rsidRPr="002C6677">
        <w:t>declarado como orgánico ante la Oficina de Aduanas y Protección Fronteriza de EE. UU. y estar asociado con datos válidos del certificado de importación NOP</w:t>
      </w:r>
    </w:p>
    <w:p w14:paraId="5AB74709" w14:textId="1F650AE7" w:rsidR="00CF204E" w:rsidRPr="00231702" w:rsidRDefault="227E1361" w:rsidP="00B97310">
      <w:pPr>
        <w:spacing w:after="80"/>
        <w:rPr>
          <w:rFonts w:eastAsia="Times New Roman"/>
          <w:lang w:val="es-ES"/>
        </w:rPr>
      </w:pPr>
      <w:r w:rsidRPr="227E1361">
        <w:rPr>
          <w:rFonts w:eastAsia="Times New Roman"/>
        </w:rPr>
        <w:t xml:space="preserve">La base legal denominada en inglés Federal Rule </w:t>
      </w:r>
      <w:proofErr w:type="gramStart"/>
      <w:r w:rsidRPr="227E1361">
        <w:rPr>
          <w:rFonts w:eastAsia="Times New Roman"/>
        </w:rPr>
        <w:t>entró en vigencia</w:t>
      </w:r>
      <w:proofErr w:type="gramEnd"/>
      <w:r w:rsidRPr="227E1361">
        <w:rPr>
          <w:rFonts w:eastAsia="Times New Roman"/>
        </w:rPr>
        <w:t xml:space="preserve"> el 20 de febrero de 2001 y se implementó por completo el 21 de octubre de 2002. La intención de esta ley es facilitar la comercialización nacional e internacional de alimentos frescos y procesados que se producen orgánicamente y asegurar a los consumidores que dichos productos cumplen de manera consistente, normas uniformes. La USDA AMS Federal Register (7 CFR Part 205) National Organic Program’s Final Rule está disponible en el Manual de Normas de Certificación NOP de QCS y en el sitio web del USDA en </w:t>
      </w:r>
      <w:hyperlink r:id="rId15">
        <w:r w:rsidRPr="227E1361">
          <w:rPr>
            <w:rFonts w:eastAsia="Calibri"/>
            <w:color w:val="0000FF"/>
            <w:u w:val="single"/>
          </w:rPr>
          <w:t>www.ams.usda.gov/nop</w:t>
        </w:r>
      </w:hyperlink>
      <w:r w:rsidRPr="227E1361">
        <w:rPr>
          <w:rFonts w:eastAsia="Times New Roman"/>
        </w:rPr>
        <w:t>.</w:t>
      </w:r>
      <w:r w:rsidR="00C2598D">
        <w:rPr>
          <w:rFonts w:eastAsia="Times New Roman"/>
        </w:rPr>
        <w:t xml:space="preserve"> </w:t>
      </w:r>
    </w:p>
    <w:p w14:paraId="0FD20AAE" w14:textId="31665CB1" w:rsidR="00CF204E" w:rsidRPr="002E4384" w:rsidRDefault="227E1361" w:rsidP="00B97310">
      <w:pPr>
        <w:spacing w:after="80"/>
        <w:rPr>
          <w:rFonts w:eastAsia="Times New Roman"/>
          <w:color w:val="000000"/>
          <w:lang w:val="es-ES"/>
        </w:rPr>
      </w:pPr>
      <w:r w:rsidRPr="227E1361">
        <w:rPr>
          <w:rFonts w:eastAsia="Tahoma,Times New Roman"/>
        </w:rPr>
        <w:t xml:space="preserve">QCS reconoce a todas las agencias de certificación orgánica, privadas o estatales, según lo reconocido por el USDA. </w:t>
      </w:r>
      <w:hyperlink r:id="rId16">
        <w:r w:rsidRPr="227E1361">
          <w:rPr>
            <w:rStyle w:val="Hyperlink"/>
            <w:rFonts w:asciiTheme="minorHAnsi" w:eastAsia="Tahoma,Times New Roman" w:hAnsiTheme="minorHAnsi" w:cstheme="minorBidi"/>
          </w:rPr>
          <w:t>https://www.ams.usda.gov/services/organic-certification/certifying-agents</w:t>
        </w:r>
      </w:hyperlink>
      <w:r w:rsidRPr="227E1361">
        <w:rPr>
          <w:rFonts w:eastAsia="Tahoma,Times New Roman"/>
        </w:rPr>
        <w:t xml:space="preserve">. Los programas estatales pueden tener requisitos adicionales para operaciones ubicadas o comercializando dentro de esos estados. QCS debe verificar el cumplimiento del cliente con los requisitos de los programas estatales aplicables. </w:t>
      </w:r>
    </w:p>
    <w:p w14:paraId="2D7F9304" w14:textId="5B8705AB" w:rsidR="00CF204E" w:rsidRDefault="227E1361" w:rsidP="00337BBD">
      <w:pPr>
        <w:rPr>
          <w:rFonts w:eastAsia="Times New Roman"/>
        </w:rPr>
      </w:pPr>
      <w:r w:rsidRPr="227E1361">
        <w:rPr>
          <w:rFonts w:eastAsia="Times New Roman"/>
        </w:rPr>
        <w:t>Además de las normativas del USDA NOP, QCS ofrece estándares que facilitan el comercio con países extranjeros. QCS ofrece programas que facilitan el comercio orgánico con países extranjeros a través de los acuerdos de exportac</w:t>
      </w:r>
      <w:r w:rsidRPr="00FE7F19">
        <w:t>ión, acuerdos de reconocimiento y autorizaciones de importación con programas extranjeros del Servicio de Mercadeo Agrícola (AMS) del Departamento de Agricultura de los Estados Unidos (USDA). Todas las normas adicionales requeridas para la exportación deben cumplir o superar el NOP, y deben pr</w:t>
      </w:r>
      <w:r w:rsidRPr="227E1361">
        <w:rPr>
          <w:rFonts w:eastAsia="Times New Roman"/>
        </w:rPr>
        <w:t>oporcionarse en inglés, a menos que el país de origen exija lo contrario.</w:t>
      </w:r>
      <w:r w:rsidR="00EF40F9">
        <w:rPr>
          <w:rFonts w:eastAsia="Times New Roman"/>
        </w:rPr>
        <w:t xml:space="preserve"> </w:t>
      </w:r>
    </w:p>
    <w:p w14:paraId="74B31297" w14:textId="06F2B02D" w:rsidR="00EF40F9" w:rsidRDefault="00EF40F9" w:rsidP="007120E1">
      <w:pPr>
        <w:pStyle w:val="Heading3"/>
      </w:pPr>
      <w:r>
        <w:t>Certificación transicional</w:t>
      </w:r>
    </w:p>
    <w:p w14:paraId="7FA2200B" w14:textId="35CA17F1" w:rsidR="00EF40F9" w:rsidRDefault="000B796A" w:rsidP="00337BBD">
      <w:pPr>
        <w:rPr>
          <w:rFonts w:eastAsia="Times New Roman"/>
          <w:lang w:val="es-ES"/>
        </w:rPr>
      </w:pPr>
      <w:r w:rsidRPr="000B796A">
        <w:rPr>
          <w:rFonts w:eastAsia="Times New Roman"/>
          <w:lang w:val="es-ES"/>
        </w:rPr>
        <w:t>Orgánico es un término de etiquetado para alimentos u otros productos agrícolas que han sido producidos de acuerdo con los estándares orgánicos del USDA. Transicional se refiere a una operación agrícola que sigue los estándares orgánicos a pesar de no ser aún elegible para la certificación orgánica. Esta elegibilidad se describe en 7 CFR 205.202(a):</w:t>
      </w:r>
      <w:r>
        <w:rPr>
          <w:rFonts w:eastAsia="Times New Roman"/>
          <w:lang w:val="es-ES"/>
        </w:rPr>
        <w:t xml:space="preserve"> </w:t>
      </w:r>
    </w:p>
    <w:p w14:paraId="55343AA9" w14:textId="44643EA2" w:rsidR="000B796A" w:rsidRPr="000B796A" w:rsidRDefault="007233DB" w:rsidP="002735CF">
      <w:pPr>
        <w:pStyle w:val="ListParagraph"/>
        <w:numPr>
          <w:ilvl w:val="0"/>
          <w:numId w:val="38"/>
        </w:numPr>
        <w:rPr>
          <w:rFonts w:eastAsia="Times New Roman"/>
          <w:lang w:val="es-ES"/>
        </w:rPr>
      </w:pPr>
      <w:r w:rsidRPr="007233DB">
        <w:rPr>
          <w:rFonts w:eastAsia="Times New Roman"/>
          <w:lang w:val="es-ES"/>
        </w:rPr>
        <w:t>Cualquier campo o parcela agrícola donde los cultivos cosechados estén destinados a venderse, etiquetarse o representarse como “orgánicos” deben: No haber tenido sustancias prohibidas, como se enumeran en</w:t>
      </w:r>
      <w:r w:rsidR="00976AA9">
        <w:rPr>
          <w:rFonts w:eastAsia="Times New Roman"/>
          <w:lang w:val="es-ES"/>
        </w:rPr>
        <w:t xml:space="preserve"> </w:t>
      </w:r>
      <w:hyperlink r:id="rId17">
        <w:r w:rsidR="00976AA9">
          <w:rPr>
            <w:rStyle w:val="Hyperlink"/>
            <w:rFonts w:asciiTheme="minorHAnsi" w:eastAsia="Calibri" w:hAnsiTheme="minorHAnsi" w:cstheme="minorHAnsi"/>
          </w:rPr>
          <w:t>§205.105</w:t>
        </w:r>
      </w:hyperlink>
      <w:r w:rsidRPr="007233DB">
        <w:rPr>
          <w:rFonts w:eastAsia="Times New Roman"/>
          <w:lang w:val="es-ES"/>
        </w:rPr>
        <w:t>, aplicadas durante un período de 3 años inmediatamente antes de la cosecha. del cultivo;</w:t>
      </w:r>
    </w:p>
    <w:p w14:paraId="5C2E0136" w14:textId="49242324" w:rsidR="000B796A" w:rsidRDefault="00AF0617" w:rsidP="00337BBD">
      <w:pPr>
        <w:rPr>
          <w:rFonts w:eastAsia="Times New Roman"/>
          <w:lang w:val="es-ES"/>
        </w:rPr>
      </w:pPr>
      <w:r w:rsidRPr="00AF0617">
        <w:rPr>
          <w:rFonts w:eastAsia="Times New Roman"/>
          <w:lang w:val="es-ES"/>
        </w:rPr>
        <w:lastRenderedPageBreak/>
        <w:t xml:space="preserve">La certificación de transición no es una certificación regulada a nivel federal como la certificación orgánica. Sin embargo, para que una operación figure en la </w:t>
      </w:r>
      <w:hyperlink r:id="rId18" w:history="1">
        <w:r w:rsidRPr="00722340">
          <w:rPr>
            <w:rStyle w:val="Hyperlink"/>
            <w:rFonts w:asciiTheme="minorHAnsi" w:eastAsia="Times New Roman" w:hAnsiTheme="minorHAnsi" w:cstheme="minorBidi"/>
            <w:lang w:val="es-ES"/>
          </w:rPr>
          <w:t>Base de Datos de Integridad Orgánica</w:t>
        </w:r>
      </w:hyperlink>
      <w:r w:rsidRPr="00AF0617">
        <w:rPr>
          <w:rFonts w:eastAsia="Times New Roman"/>
          <w:lang w:val="es-ES"/>
        </w:rPr>
        <w:t xml:space="preserve"> como transitoria certificada, deberá realizar lo siguiente</w:t>
      </w:r>
      <w:r w:rsidR="00634095">
        <w:rPr>
          <w:rFonts w:eastAsia="Times New Roman"/>
          <w:lang w:val="es-ES"/>
        </w:rPr>
        <w:t xml:space="preserve">: </w:t>
      </w:r>
    </w:p>
    <w:p w14:paraId="5D9DF1D5" w14:textId="77777777" w:rsidR="00914C89" w:rsidRPr="00914C89" w:rsidRDefault="00914C89" w:rsidP="002735CF">
      <w:pPr>
        <w:pStyle w:val="ListParagraph"/>
        <w:numPr>
          <w:ilvl w:val="0"/>
          <w:numId w:val="38"/>
        </w:numPr>
        <w:rPr>
          <w:rFonts w:eastAsia="Times New Roman"/>
          <w:lang w:val="es-ES"/>
        </w:rPr>
      </w:pPr>
      <w:r w:rsidRPr="00914C89">
        <w:rPr>
          <w:rFonts w:eastAsia="Times New Roman"/>
          <w:lang w:val="es-ES"/>
        </w:rPr>
        <w:t>Presentar un OSP que documente las prácticas de producción y/o manejo agrícola y el sistema de mantenimiento de registros que la operación de transición está implementando para establecer un sistema orgánico que cumpla.</w:t>
      </w:r>
    </w:p>
    <w:p w14:paraId="0F536687" w14:textId="77777777" w:rsidR="00914C89" w:rsidRPr="00914C89" w:rsidRDefault="00914C89" w:rsidP="002735CF">
      <w:pPr>
        <w:pStyle w:val="ListParagraph"/>
        <w:numPr>
          <w:ilvl w:val="0"/>
          <w:numId w:val="38"/>
        </w:numPr>
        <w:rPr>
          <w:rFonts w:eastAsia="Times New Roman"/>
          <w:lang w:val="es-ES"/>
        </w:rPr>
      </w:pPr>
      <w:r w:rsidRPr="00914C89">
        <w:rPr>
          <w:rFonts w:eastAsia="Times New Roman"/>
          <w:lang w:val="es-ES"/>
        </w:rPr>
        <w:t>Enumere los materiales en uso en el OSP para que el certificador pueda confirmar que no se reporta el uso de sustancias prohibidas en la parte de la operación que pasa de no orgánico a orgánico.</w:t>
      </w:r>
    </w:p>
    <w:p w14:paraId="0D90FCF9" w14:textId="77777777" w:rsidR="00914C89" w:rsidRPr="00914C89" w:rsidRDefault="00914C89" w:rsidP="002735CF">
      <w:pPr>
        <w:pStyle w:val="ListParagraph"/>
        <w:numPr>
          <w:ilvl w:val="0"/>
          <w:numId w:val="38"/>
        </w:numPr>
        <w:rPr>
          <w:rFonts w:eastAsia="Times New Roman"/>
          <w:lang w:val="es-ES"/>
        </w:rPr>
      </w:pPr>
      <w:r w:rsidRPr="00914C89">
        <w:rPr>
          <w:rFonts w:eastAsia="Times New Roman"/>
          <w:lang w:val="es-ES"/>
        </w:rPr>
        <w:t>Se alienta a las operaciones a proporcionar OSP actualizados al certificador una vez al año si se ha producido un cambio en las prácticas y/o materiales que podría afectar el cumplimiento.</w:t>
      </w:r>
    </w:p>
    <w:p w14:paraId="0E458B37" w14:textId="77777777" w:rsidR="00914C89" w:rsidRPr="00914C89" w:rsidRDefault="00914C89" w:rsidP="002735CF">
      <w:pPr>
        <w:pStyle w:val="ListParagraph"/>
        <w:numPr>
          <w:ilvl w:val="0"/>
          <w:numId w:val="38"/>
        </w:numPr>
        <w:rPr>
          <w:rFonts w:eastAsia="Times New Roman"/>
          <w:lang w:val="es-ES"/>
        </w:rPr>
      </w:pPr>
      <w:r w:rsidRPr="00914C89">
        <w:rPr>
          <w:rFonts w:eastAsia="Times New Roman"/>
          <w:lang w:val="es-ES"/>
        </w:rPr>
        <w:t>El certificador debe comunicar todos los comentarios sobre cuestiones de cumplimiento a la operación sobre su estado de elegibilidad, y la operación no debe figurar como transitoria. La operación puede volver a presentar un OSP actualizado y compatible en cualquier momento, o con la frecuencia necesaria para otros programas, como el seguro de cosechas de transición. Si se han utilizado materiales prohibidos, la elegibilidad para la certificación orgánica puede retrasarse.</w:t>
      </w:r>
    </w:p>
    <w:p w14:paraId="10683594" w14:textId="1CFA7DA5" w:rsidR="00634095" w:rsidRPr="00634095" w:rsidRDefault="00914C89" w:rsidP="002735CF">
      <w:pPr>
        <w:pStyle w:val="ListParagraph"/>
        <w:numPr>
          <w:ilvl w:val="0"/>
          <w:numId w:val="38"/>
        </w:numPr>
        <w:rPr>
          <w:rFonts w:eastAsia="Times New Roman"/>
          <w:lang w:val="es-ES"/>
        </w:rPr>
      </w:pPr>
      <w:r w:rsidRPr="00914C89">
        <w:rPr>
          <w:rFonts w:eastAsia="Times New Roman"/>
          <w:lang w:val="es-ES"/>
        </w:rPr>
        <w:t>No es necesario inspeccionar las operaciones de transición</w:t>
      </w:r>
    </w:p>
    <w:p w14:paraId="017366AE" w14:textId="3125EFB1" w:rsidR="00634095" w:rsidRDefault="000A0768" w:rsidP="00337BBD">
      <w:pPr>
        <w:rPr>
          <w:rFonts w:eastAsia="Times New Roman"/>
          <w:lang w:val="es-ES"/>
        </w:rPr>
      </w:pPr>
      <w:r w:rsidRPr="000A0768">
        <w:rPr>
          <w:rFonts w:eastAsia="Times New Roman"/>
          <w:lang w:val="es-ES"/>
        </w:rPr>
        <w:t xml:space="preserve">Para obtener información adicional sobre los beneficios de figurar en la base de datos de INTEGRITY, consulte el </w:t>
      </w:r>
      <w:hyperlink r:id="rId19" w:history="1">
        <w:r w:rsidRPr="00AD14A7">
          <w:rPr>
            <w:rStyle w:val="Hyperlink"/>
            <w:rFonts w:asciiTheme="minorHAnsi" w:eastAsia="Times New Roman" w:hAnsiTheme="minorHAnsi" w:cstheme="minorBidi"/>
            <w:lang w:val="es-ES"/>
          </w:rPr>
          <w:t>Manual de NOP 'Base de datos de integridad orgánica - Informes de operaciones de transición'</w:t>
        </w:r>
      </w:hyperlink>
      <w:r w:rsidRPr="000A0768">
        <w:rPr>
          <w:rFonts w:eastAsia="Times New Roman"/>
          <w:lang w:val="es-ES"/>
        </w:rPr>
        <w:t>.</w:t>
      </w:r>
    </w:p>
    <w:p w14:paraId="37019E99" w14:textId="26F7517E" w:rsidR="00AD14A7" w:rsidRDefault="00965ECB" w:rsidP="00965ECB">
      <w:pPr>
        <w:pStyle w:val="Heading4"/>
        <w:rPr>
          <w:lang w:val="es-ES"/>
        </w:rPr>
      </w:pPr>
      <w:r w:rsidRPr="00965ECB">
        <w:rPr>
          <w:lang w:val="es-ES"/>
        </w:rPr>
        <w:t>Programa de certificación de transición QCS</w:t>
      </w:r>
    </w:p>
    <w:p w14:paraId="5811C483" w14:textId="77777777"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Sólo disponible para clientes de cultivos.</w:t>
      </w:r>
    </w:p>
    <w:p w14:paraId="3CACC083" w14:textId="7BA0BC2D"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 xml:space="preserve">Los clientes deben presentar las secciones pertinentes del Plan </w:t>
      </w:r>
      <w:r w:rsidR="002E0570">
        <w:rPr>
          <w:rFonts w:eastAsia="Times New Roman"/>
          <w:lang w:val="es-ES"/>
        </w:rPr>
        <w:t xml:space="preserve">Agrícola </w:t>
      </w:r>
      <w:r w:rsidRPr="00DB594F">
        <w:rPr>
          <w:rFonts w:eastAsia="Times New Roman"/>
          <w:lang w:val="es-ES"/>
        </w:rPr>
        <w:t>Orgánico.</w:t>
      </w:r>
    </w:p>
    <w:p w14:paraId="4A624325" w14:textId="77777777"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Los clientes deben enviar un formulario de renovación y las tarifas de renovación una vez al año antes de la fecha de aniversario asignada.</w:t>
      </w:r>
    </w:p>
    <w:p w14:paraId="36B6CF50" w14:textId="77777777"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QCS ofrecerá inspecciones opcionales para operaciones solo de transición, ya que las tierras de transición deberán ser inspeccionadas (dentro de los 6 meses posteriores a la fecha de elegibilidad de la tierra) para obtener la certificación orgánica.</w:t>
      </w:r>
    </w:p>
    <w:p w14:paraId="1E3C06FB" w14:textId="77777777"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Después de la revisión anual, QCS emitirá un Certificado de transición y un formulario de Verificación de producto de transición.</w:t>
      </w:r>
    </w:p>
    <w:p w14:paraId="7FE499A1" w14:textId="77777777"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Los clientes de transición certificados serán elegibles para utilizar el logotipo de transición de QCS.</w:t>
      </w:r>
    </w:p>
    <w:p w14:paraId="7FE6BC81" w14:textId="77777777" w:rsidR="00DB594F" w:rsidRPr="00DB594F" w:rsidRDefault="00DB594F" w:rsidP="002735CF">
      <w:pPr>
        <w:pStyle w:val="ListParagraph"/>
        <w:numPr>
          <w:ilvl w:val="0"/>
          <w:numId w:val="39"/>
        </w:numPr>
        <w:ind w:left="360"/>
        <w:rPr>
          <w:rFonts w:eastAsia="Times New Roman"/>
          <w:lang w:val="es-ES"/>
        </w:rPr>
      </w:pPr>
      <w:r w:rsidRPr="00DB594F">
        <w:rPr>
          <w:rFonts w:eastAsia="Times New Roman"/>
          <w:lang w:val="es-ES"/>
        </w:rPr>
        <w:t>QCS solo mantendrá clientes que solo estén certificados de manera transitoria según estos criterios. A los clientes que tengan tierras orgánicas certificadas y tierras de transición con QCS no se les cobrará por las tierras de transición, pero esas tierras serán inspeccionadas y revisadas con todos los registros y tierras orgánicas.</w:t>
      </w:r>
    </w:p>
    <w:p w14:paraId="480FF03A" w14:textId="4288BB34" w:rsidR="00965ECB" w:rsidRDefault="00DB594F" w:rsidP="002735CF">
      <w:pPr>
        <w:pStyle w:val="ListParagraph"/>
        <w:numPr>
          <w:ilvl w:val="0"/>
          <w:numId w:val="39"/>
        </w:numPr>
        <w:ind w:left="360"/>
        <w:rPr>
          <w:rFonts w:eastAsia="Times New Roman"/>
          <w:lang w:val="es-ES"/>
        </w:rPr>
      </w:pPr>
      <w:r w:rsidRPr="00DB594F">
        <w:rPr>
          <w:rFonts w:eastAsia="Times New Roman"/>
          <w:lang w:val="es-ES"/>
        </w:rPr>
        <w:t>Una vez que la tierra sea elegible para la certificación orgánica, QCS notificará al cliente que debe solicitar la certificación orgánica y que su certificación de transición finalizará dentro de los 6 meses posteriores a la elegibilidad. Los clientes pueden solicitar la certificación orgánica en su tercer año de certificación de transición para recibir inmediatamente un certificado orgánico en su fecha de elegibilidad.</w:t>
      </w:r>
      <w:r w:rsidR="004D4980">
        <w:rPr>
          <w:rFonts w:eastAsia="Times New Roman"/>
          <w:lang w:val="es-ES"/>
        </w:rPr>
        <w:t xml:space="preserve"> </w:t>
      </w:r>
    </w:p>
    <w:p w14:paraId="64B2395B" w14:textId="77AA19E4" w:rsidR="004D4980" w:rsidRDefault="004D4980" w:rsidP="004D4980">
      <w:pPr>
        <w:rPr>
          <w:rFonts w:eastAsia="Times New Roman"/>
          <w:lang w:val="es-ES"/>
        </w:rPr>
      </w:pPr>
      <w:r w:rsidRPr="004D4980">
        <w:rPr>
          <w:rFonts w:eastAsia="Times New Roman"/>
          <w:lang w:val="es-ES"/>
        </w:rPr>
        <w:t xml:space="preserve">El programa de certificación de transición de QCS está diseñado para coincidir con la misión y los recursos proporcionados por la subvención del Programa de Asociación de Transición a lo Orgánico desarrollado </w:t>
      </w:r>
      <w:r w:rsidRPr="004D4980">
        <w:rPr>
          <w:rFonts w:eastAsia="Times New Roman"/>
          <w:lang w:val="es-ES"/>
        </w:rPr>
        <w:lastRenderedPageBreak/>
        <w:t xml:space="preserve">por el USDA. La misión de esta subvención de $100 millones es brindar asistencia técnica y apoyo a los agricultores orgánicos existentes y en transición a través de socios y organizaciones regionales que realizan actividades de capacitación, educación y extensión a los agricultores. Como se detalla </w:t>
      </w:r>
      <w:hyperlink r:id="rId20" w:history="1">
        <w:r w:rsidRPr="00C625B5">
          <w:rPr>
            <w:rStyle w:val="Hyperlink"/>
            <w:rFonts w:asciiTheme="minorHAnsi" w:eastAsia="Times New Roman" w:hAnsiTheme="minorHAnsi" w:cstheme="minorBidi"/>
            <w:lang w:val="es-ES"/>
          </w:rPr>
          <w:t>aquí</w:t>
        </w:r>
      </w:hyperlink>
      <w:r w:rsidRPr="004D4980">
        <w:rPr>
          <w:rFonts w:eastAsia="Times New Roman"/>
          <w:lang w:val="es-ES"/>
        </w:rPr>
        <w:t>, estas organizaciones asociadas</w:t>
      </w:r>
      <w:r w:rsidR="00C625B5">
        <w:rPr>
          <w:rFonts w:eastAsia="Times New Roman"/>
          <w:lang w:val="es-ES"/>
        </w:rPr>
        <w:t xml:space="preserve">: </w:t>
      </w:r>
    </w:p>
    <w:p w14:paraId="1FB23C3D" w14:textId="3E538A91" w:rsidR="001B2C1E" w:rsidRPr="001B2C1E" w:rsidRDefault="001B2C1E" w:rsidP="002735CF">
      <w:pPr>
        <w:pStyle w:val="ListParagraph"/>
        <w:numPr>
          <w:ilvl w:val="0"/>
          <w:numId w:val="40"/>
        </w:numPr>
        <w:ind w:left="360"/>
        <w:rPr>
          <w:rFonts w:eastAsia="Times New Roman"/>
          <w:lang w:val="es-ES"/>
        </w:rPr>
      </w:pPr>
      <w:r w:rsidRPr="001B2C1E">
        <w:rPr>
          <w:rFonts w:eastAsia="Times New Roman"/>
          <w:lang w:val="es-ES"/>
        </w:rPr>
        <w:t>Conect</w:t>
      </w:r>
      <w:r>
        <w:rPr>
          <w:rFonts w:eastAsia="Times New Roman"/>
          <w:lang w:val="es-ES"/>
        </w:rPr>
        <w:t>ar</w:t>
      </w:r>
      <w:r w:rsidRPr="001B2C1E">
        <w:rPr>
          <w:rFonts w:eastAsia="Times New Roman"/>
          <w:lang w:val="es-ES"/>
        </w:rPr>
        <w:t xml:space="preserve"> a los agricultores en transición con mentores durante al menos un año después de la certificación.</w:t>
      </w:r>
    </w:p>
    <w:p w14:paraId="13BDA2AA" w14:textId="08EF3344" w:rsidR="001B2C1E" w:rsidRPr="001B2C1E" w:rsidRDefault="001B2C1E" w:rsidP="002735CF">
      <w:pPr>
        <w:pStyle w:val="ListParagraph"/>
        <w:numPr>
          <w:ilvl w:val="0"/>
          <w:numId w:val="40"/>
        </w:numPr>
        <w:ind w:left="360"/>
        <w:rPr>
          <w:rFonts w:eastAsia="Times New Roman"/>
          <w:lang w:val="es-ES"/>
        </w:rPr>
      </w:pPr>
      <w:r w:rsidRPr="001B2C1E">
        <w:rPr>
          <w:rFonts w:eastAsia="Times New Roman"/>
          <w:lang w:val="es-ES"/>
        </w:rPr>
        <w:t>Cr</w:t>
      </w:r>
      <w:r>
        <w:rPr>
          <w:rFonts w:eastAsia="Times New Roman"/>
          <w:lang w:val="es-ES"/>
        </w:rPr>
        <w:t>ear</w:t>
      </w:r>
      <w:r w:rsidRPr="001B2C1E">
        <w:rPr>
          <w:rFonts w:eastAsia="Times New Roman"/>
          <w:lang w:val="es-ES"/>
        </w:rPr>
        <w:t xml:space="preserve"> redes de tutoría pagadas para compartir ideas y consejos prácticos.</w:t>
      </w:r>
    </w:p>
    <w:p w14:paraId="2AF72BB1" w14:textId="6D161791" w:rsidR="00C625B5" w:rsidRDefault="001B2C1E" w:rsidP="002735CF">
      <w:pPr>
        <w:pStyle w:val="ListParagraph"/>
        <w:numPr>
          <w:ilvl w:val="0"/>
          <w:numId w:val="40"/>
        </w:numPr>
        <w:ind w:left="360"/>
        <w:rPr>
          <w:rFonts w:eastAsia="Times New Roman"/>
          <w:lang w:val="es-ES"/>
        </w:rPr>
      </w:pPr>
      <w:r w:rsidRPr="001B2C1E">
        <w:rPr>
          <w:rFonts w:eastAsia="Times New Roman"/>
          <w:lang w:val="es-ES"/>
        </w:rPr>
        <w:t>Proporcionar oportunidades de desarrollo comunitario que incluyan:</w:t>
      </w:r>
    </w:p>
    <w:p w14:paraId="2E328FC9" w14:textId="77777777" w:rsidR="00022D53" w:rsidRPr="00022D53" w:rsidRDefault="00022D53" w:rsidP="002735CF">
      <w:pPr>
        <w:pStyle w:val="ListParagraph"/>
        <w:numPr>
          <w:ilvl w:val="1"/>
          <w:numId w:val="40"/>
        </w:numPr>
        <w:ind w:left="720"/>
        <w:rPr>
          <w:rFonts w:eastAsia="Times New Roman"/>
          <w:lang w:val="es-ES"/>
        </w:rPr>
      </w:pPr>
      <w:r w:rsidRPr="00022D53">
        <w:rPr>
          <w:rFonts w:eastAsia="Times New Roman"/>
          <w:lang w:val="es-ES"/>
        </w:rPr>
        <w:t>Apoyo para capacitar al mentor</w:t>
      </w:r>
    </w:p>
    <w:p w14:paraId="64C2D11B" w14:textId="77777777" w:rsidR="00022D53" w:rsidRPr="00022D53" w:rsidRDefault="00022D53" w:rsidP="002735CF">
      <w:pPr>
        <w:pStyle w:val="ListParagraph"/>
        <w:numPr>
          <w:ilvl w:val="1"/>
          <w:numId w:val="40"/>
        </w:numPr>
        <w:ind w:left="720"/>
        <w:rPr>
          <w:rFonts w:eastAsia="Times New Roman"/>
          <w:lang w:val="es-ES"/>
        </w:rPr>
      </w:pPr>
      <w:r w:rsidRPr="00022D53">
        <w:rPr>
          <w:rFonts w:eastAsia="Times New Roman"/>
          <w:lang w:val="es-ES"/>
        </w:rPr>
        <w:t>Asistencia técnica</w:t>
      </w:r>
    </w:p>
    <w:p w14:paraId="0081E318" w14:textId="20DCF6C4" w:rsidR="001B2C1E" w:rsidRDefault="00022D53" w:rsidP="002735CF">
      <w:pPr>
        <w:pStyle w:val="ListParagraph"/>
        <w:numPr>
          <w:ilvl w:val="1"/>
          <w:numId w:val="40"/>
        </w:numPr>
        <w:ind w:left="720"/>
        <w:rPr>
          <w:rFonts w:eastAsia="Times New Roman"/>
          <w:lang w:val="es-ES"/>
        </w:rPr>
      </w:pPr>
      <w:r w:rsidRPr="00022D53">
        <w:rPr>
          <w:rFonts w:eastAsia="Times New Roman"/>
          <w:lang w:val="es-ES"/>
        </w:rPr>
        <w:t>Talleres y días de campo que cubren temas que incluyen prácticas de producción orgánica, certificación, planificación de la conservación, desarrollo empresarial (incluida la navegación por la cadena de suministro), regulaciones y marketing.</w:t>
      </w:r>
    </w:p>
    <w:p w14:paraId="1A307555" w14:textId="77777777" w:rsidR="001B7C53" w:rsidRPr="001B7C53" w:rsidRDefault="001B7C53" w:rsidP="002735CF">
      <w:pPr>
        <w:pStyle w:val="ListParagraph"/>
        <w:numPr>
          <w:ilvl w:val="0"/>
          <w:numId w:val="40"/>
        </w:numPr>
        <w:ind w:left="360"/>
        <w:rPr>
          <w:rFonts w:eastAsia="Times New Roman"/>
          <w:lang w:val="es-ES"/>
        </w:rPr>
      </w:pPr>
      <w:r w:rsidRPr="001B7C53">
        <w:rPr>
          <w:rFonts w:eastAsia="Times New Roman"/>
          <w:lang w:val="es-ES"/>
        </w:rPr>
        <w:t>Ayudar a los productores a superar los cambios técnicos, culturales y financieros durante y después de la certificación.</w:t>
      </w:r>
    </w:p>
    <w:p w14:paraId="41DA44E8" w14:textId="50120E93" w:rsidR="00022D53" w:rsidRPr="00C625B5" w:rsidRDefault="001B7C53" w:rsidP="002735CF">
      <w:pPr>
        <w:pStyle w:val="ListParagraph"/>
        <w:numPr>
          <w:ilvl w:val="0"/>
          <w:numId w:val="40"/>
        </w:numPr>
        <w:ind w:left="360"/>
        <w:rPr>
          <w:rFonts w:eastAsia="Times New Roman"/>
          <w:lang w:val="es-ES"/>
        </w:rPr>
      </w:pPr>
      <w:r w:rsidRPr="001B7C53">
        <w:rPr>
          <w:rFonts w:eastAsia="Times New Roman"/>
          <w:lang w:val="es-ES"/>
        </w:rPr>
        <w:t>Involucrar a las instituciones educativas y de capacitación (incluidos asesores de cultivos y agentes de extensión) en la capacitación y educación de la fuerza laboral orgánica y la planificación futura del capital humano.</w:t>
      </w:r>
    </w:p>
    <w:p w14:paraId="76BB4099" w14:textId="49B8DF59" w:rsidR="00BF65F9" w:rsidRPr="00BF65F9" w:rsidRDefault="00BF65F9" w:rsidP="00BF65F9">
      <w:pPr>
        <w:rPr>
          <w:rFonts w:eastAsia="Times New Roman"/>
          <w:lang w:val="es-ES"/>
        </w:rPr>
      </w:pPr>
      <w:r w:rsidRPr="00BF65F9">
        <w:rPr>
          <w:rFonts w:eastAsia="Times New Roman"/>
          <w:lang w:val="es-ES"/>
        </w:rPr>
        <w:t xml:space="preserve">Para conectarse con la organización sin fines de lucro adecuada en su región, consulte este documento: </w:t>
      </w:r>
      <w:hyperlink r:id="rId21" w:history="1">
        <w:r w:rsidRPr="0033631D">
          <w:rPr>
            <w:rStyle w:val="Hyperlink"/>
            <w:rFonts w:asciiTheme="minorHAnsi" w:eastAsia="Times New Roman" w:hAnsiTheme="minorHAnsi" w:cstheme="minorBidi"/>
            <w:lang w:val="es-ES"/>
          </w:rPr>
          <w:t>Organizaciones asociadas a TOPP</w:t>
        </w:r>
      </w:hyperlink>
      <w:r w:rsidRPr="00BF65F9">
        <w:rPr>
          <w:rFonts w:eastAsia="Times New Roman"/>
          <w:lang w:val="es-ES"/>
        </w:rPr>
        <w:t>.</w:t>
      </w:r>
    </w:p>
    <w:p w14:paraId="08AA222D" w14:textId="48241327" w:rsidR="00BF65F9" w:rsidRPr="00BF65F9" w:rsidRDefault="00BF65F9" w:rsidP="00BF65F9">
      <w:pPr>
        <w:rPr>
          <w:rFonts w:eastAsia="Times New Roman"/>
          <w:lang w:val="es-ES"/>
        </w:rPr>
      </w:pPr>
      <w:r w:rsidRPr="00BF65F9">
        <w:rPr>
          <w:rFonts w:eastAsia="Times New Roman"/>
          <w:lang w:val="es-ES"/>
        </w:rPr>
        <w:t xml:space="preserve">También hay opciones adicionales de apoyo técnico y financiero disponibles para los agricultores en transición, como se describe en el sitio web </w:t>
      </w:r>
      <w:hyperlink r:id="rId22" w:history="1">
        <w:r w:rsidRPr="00314926">
          <w:rPr>
            <w:rStyle w:val="Hyperlink"/>
            <w:rFonts w:asciiTheme="minorHAnsi" w:eastAsia="Times New Roman" w:hAnsiTheme="minorHAnsi" w:cstheme="minorBidi"/>
            <w:lang w:val="es-ES"/>
          </w:rPr>
          <w:t>Farmers.gov</w:t>
        </w:r>
      </w:hyperlink>
      <w:r w:rsidRPr="00BF65F9">
        <w:rPr>
          <w:rFonts w:eastAsia="Times New Roman"/>
          <w:lang w:val="es-ES"/>
        </w:rPr>
        <w:t xml:space="preserve">. O puede ubicar su Centro de Servicio del USDA más cercano y analizar las opciones de soporte relevantes para su operación. Encuentre su </w:t>
      </w:r>
      <w:hyperlink r:id="rId23" w:history="1">
        <w:r w:rsidRPr="0035719B">
          <w:rPr>
            <w:rStyle w:val="Hyperlink"/>
            <w:rFonts w:asciiTheme="minorHAnsi" w:eastAsia="Times New Roman" w:hAnsiTheme="minorHAnsi" w:cstheme="minorBidi"/>
            <w:lang w:val="es-ES"/>
          </w:rPr>
          <w:t>Centro de Servicio USDA</w:t>
        </w:r>
      </w:hyperlink>
      <w:r w:rsidRPr="00BF65F9">
        <w:rPr>
          <w:rFonts w:eastAsia="Times New Roman"/>
          <w:lang w:val="es-ES"/>
        </w:rPr>
        <w:t xml:space="preserve"> más cercano en este sitio web. El </w:t>
      </w:r>
      <w:hyperlink r:id="rId24" w:history="1">
        <w:r w:rsidRPr="009D674C">
          <w:rPr>
            <w:rStyle w:val="Hyperlink"/>
            <w:rFonts w:asciiTheme="minorHAnsi" w:eastAsia="Times New Roman" w:hAnsiTheme="minorHAnsi" w:cstheme="minorBidi"/>
            <w:lang w:val="es-ES"/>
          </w:rPr>
          <w:t>seguro agrícola de transición</w:t>
        </w:r>
      </w:hyperlink>
      <w:r w:rsidRPr="00BF65F9">
        <w:rPr>
          <w:rFonts w:eastAsia="Times New Roman"/>
          <w:lang w:val="es-ES"/>
        </w:rPr>
        <w:t xml:space="preserve"> también está disponible para operaciones enumeradas en la base de datos de Integridad del USDA.</w:t>
      </w:r>
    </w:p>
    <w:p w14:paraId="1BD7809B" w14:textId="384F2066" w:rsidR="00C625B5" w:rsidRPr="004D4980" w:rsidRDefault="00BF65F9" w:rsidP="00BF65F9">
      <w:pPr>
        <w:rPr>
          <w:rFonts w:eastAsia="Times New Roman"/>
          <w:lang w:val="es-ES"/>
        </w:rPr>
      </w:pPr>
      <w:r w:rsidRPr="00BF65F9">
        <w:rPr>
          <w:rFonts w:eastAsia="Times New Roman"/>
          <w:lang w:val="es-ES"/>
        </w:rPr>
        <w:t xml:space="preserve">Conectarse con estos recursos de apoyo puede ser valioso para las nuevas operaciones de transición, ya que QCS no puede asesorar ni consultar a los clientes según la regulación orgánica del USDA. Estas subvenciones existen para ayudarle a tener éxito y estaremos encantados de ayudarle a conectarse con su representante local si necesita ayuda. Si tiene consultas sobre el programa de socios de transición a orgánico, comuníquese con nuestra empresa matriz, </w:t>
      </w:r>
      <w:hyperlink r:id="rId25" w:history="1">
        <w:r w:rsidRPr="00CB3C35">
          <w:rPr>
            <w:rStyle w:val="Hyperlink"/>
            <w:rFonts w:asciiTheme="minorHAnsi" w:eastAsia="Times New Roman" w:hAnsiTheme="minorHAnsi" w:cstheme="minorBidi"/>
            <w:lang w:val="es-ES"/>
          </w:rPr>
          <w:t>Florida Organic Growers</w:t>
        </w:r>
      </w:hyperlink>
      <w:r w:rsidRPr="00BF65F9">
        <w:rPr>
          <w:rFonts w:eastAsia="Times New Roman"/>
          <w:lang w:val="es-ES"/>
        </w:rPr>
        <w:t>.</w:t>
      </w:r>
      <w:r>
        <w:rPr>
          <w:rFonts w:eastAsia="Times New Roman"/>
          <w:lang w:val="es-ES"/>
        </w:rPr>
        <w:t xml:space="preserve"> </w:t>
      </w:r>
    </w:p>
    <w:p w14:paraId="2FD6522A" w14:textId="53ED548E" w:rsidR="00EC5D84" w:rsidRPr="00EC5D84" w:rsidRDefault="227E1361" w:rsidP="00EF40F9">
      <w:pPr>
        <w:pStyle w:val="Heading3"/>
        <w:rPr>
          <w:lang w:val="es-ES"/>
        </w:rPr>
      </w:pPr>
      <w:r w:rsidRPr="227E1361">
        <w:t>USDA NOP Acuerdos de Reconocimiento</w:t>
      </w:r>
    </w:p>
    <w:p w14:paraId="7AD33AD1" w14:textId="1C7AE2BE" w:rsidR="00CF204E" w:rsidRPr="00EC5D84" w:rsidRDefault="227E1361" w:rsidP="00337BBD">
      <w:pPr>
        <w:spacing w:line="240" w:lineRule="auto"/>
        <w:rPr>
          <w:rFonts w:eastAsia="Times New Roman"/>
        </w:rPr>
      </w:pPr>
      <w:r w:rsidRPr="227E1361">
        <w:rPr>
          <w:rFonts w:eastAsia="Times New Roman"/>
        </w:rPr>
        <w:t>Los programas extranjeros, que AMS ha determinado que cumplen con los estándares técnicos del USDA</w:t>
      </w:r>
      <w:r w:rsidR="00B662B6">
        <w:rPr>
          <w:rFonts w:eastAsia="Times New Roman"/>
        </w:rPr>
        <w:t xml:space="preserve"> </w:t>
      </w:r>
      <w:r w:rsidRPr="227E1361">
        <w:rPr>
          <w:rFonts w:ascii="Calibri" w:eastAsia="Calibri" w:hAnsi="Calibri" w:cs="Calibri"/>
        </w:rPr>
        <w:t>Programa Nacional Orgánico</w:t>
      </w:r>
      <w:r w:rsidRPr="227E1361">
        <w:rPr>
          <w:rFonts w:eastAsia="Times New Roman"/>
        </w:rPr>
        <w:t xml:space="preserve"> (NOP) del USDA, son reconocidos como organizaciones de certificación orgánica que cumplen con las estipulaciones acordadas o los estándares adicionales que se describen en</w:t>
      </w:r>
      <w:r>
        <w:t xml:space="preserve"> </w:t>
      </w:r>
      <w:hyperlink r:id="rId26">
        <w:r w:rsidR="00C777E5">
          <w:rPr>
            <w:rStyle w:val="Hyperlink"/>
            <w:rFonts w:asciiTheme="minorHAnsi" w:eastAsia="Times New Roman" w:hAnsiTheme="minorHAnsi" w:cstheme="minorBidi"/>
          </w:rPr>
          <w:t>la página de web del USDA NOP - comercio internacional</w:t>
        </w:r>
      </w:hyperlink>
      <w:r w:rsidRPr="227E1361">
        <w:rPr>
          <w:rFonts w:eastAsia="Times New Roman"/>
        </w:rPr>
        <w:t xml:space="preserve">. Los organismos reconocidos por el USDA </w:t>
      </w:r>
      <w:r w:rsidR="00300CD1" w:rsidRPr="227E1361">
        <w:rPr>
          <w:rFonts w:eastAsia="Times New Roman"/>
        </w:rPr>
        <w:t>están</w:t>
      </w:r>
      <w:r w:rsidRPr="227E1361">
        <w:rPr>
          <w:rFonts w:eastAsia="Times New Roman"/>
        </w:rPr>
        <w:t xml:space="preserve"> autorizados a aplicar los estándares técnicos de NOP para certificar operaciones que producen o manejan productos agrícolas para ser vendidos, etiquetados o representados como certificados orgánicos por el USDA en los Estados Unidos. </w:t>
      </w:r>
    </w:p>
    <w:p w14:paraId="7E6513CD" w14:textId="34B1B096" w:rsidR="00223333" w:rsidRPr="00FE7F19" w:rsidRDefault="227E1361" w:rsidP="00350B10">
      <w:pPr>
        <w:pStyle w:val="Heading3"/>
        <w:rPr>
          <w:b w:val="0"/>
          <w:lang w:val="es-ES"/>
        </w:rPr>
      </w:pPr>
      <w:r w:rsidRPr="227E1361">
        <w:t>Acuerdos de equivalencia internacional USDA NOP</w:t>
      </w:r>
    </w:p>
    <w:p w14:paraId="25E84F1B" w14:textId="675CFDA6" w:rsidR="009D322A" w:rsidRDefault="227E1361" w:rsidP="00337BBD">
      <w:pPr>
        <w:rPr>
          <w:rFonts w:eastAsia="Times New Roman"/>
          <w:lang w:val="es-ES"/>
        </w:rPr>
      </w:pPr>
      <w:r w:rsidRPr="227E1361">
        <w:rPr>
          <w:rFonts w:eastAsia="Times New Roman"/>
        </w:rPr>
        <w:t xml:space="preserve">Los Estados Unidos tiene acuerdos de equivalencia con varios gobiernos extranjeros para facilitar el comercio de productos orgánicos. Las oportunidades comerciales para las operaciones orgánicas del </w:t>
      </w:r>
      <w:r w:rsidRPr="227E1361">
        <w:rPr>
          <w:rFonts w:eastAsia="Times New Roman"/>
        </w:rPr>
        <w:lastRenderedPageBreak/>
        <w:t xml:space="preserve">USDA varían según la ubicación física de una operación. Bajo estos arreglos, QCS está autorizado a emitir certificados de exportación para aquellas operaciones que se verifique que cumplen con cualquier estándar adicional estipulado en el acuerdo. Para obtener información más completa sobre los arreglos, visite </w:t>
      </w:r>
      <w:hyperlink r:id="rId27" w:history="1">
        <w:r w:rsidRPr="227E1361">
          <w:rPr>
            <w:rStyle w:val="Hyperlink"/>
            <w:rFonts w:asciiTheme="minorHAnsi" w:eastAsia="Times New Roman" w:hAnsiTheme="minorHAnsi" w:cstheme="minorBidi"/>
          </w:rPr>
          <w:t>https://www.ams.usda.gov/services/organic-certification/international-trade</w:t>
        </w:r>
      </w:hyperlink>
      <w:r w:rsidRPr="227E1361">
        <w:rPr>
          <w:rFonts w:eastAsia="Times New Roman"/>
        </w:rPr>
        <w:t>.</w:t>
      </w:r>
    </w:p>
    <w:p w14:paraId="14DDB52B" w14:textId="525FA8B9" w:rsidR="002D1CF1" w:rsidRDefault="227E1361" w:rsidP="00350B10">
      <w:pPr>
        <w:pStyle w:val="Heading4"/>
        <w:rPr>
          <w:lang w:val="es-ES"/>
        </w:rPr>
      </w:pPr>
      <w:r w:rsidRPr="227E1361">
        <w:t xml:space="preserve">Acuerdo de equivalencia orgánica entre </w:t>
      </w:r>
      <w:r w:rsidR="00C10EB4">
        <w:t>Estados Unidos</w:t>
      </w:r>
      <w:r w:rsidRPr="227E1361">
        <w:t xml:space="preserve"> y Canadá</w:t>
      </w:r>
      <w:r w:rsidR="00C10EB4">
        <w:t xml:space="preserve"> (US-Canada Organic Equivalence Arrangement)</w:t>
      </w:r>
    </w:p>
    <w:p w14:paraId="5463FFAB" w14:textId="579E00EF" w:rsidR="00CF204E" w:rsidRPr="008D54AE" w:rsidRDefault="5DF576CE" w:rsidP="00337BBD">
      <w:pPr>
        <w:spacing w:line="240" w:lineRule="auto"/>
        <w:rPr>
          <w:rFonts w:eastAsia="Times New Roman"/>
        </w:rPr>
      </w:pPr>
      <w:r w:rsidRPr="5DF576CE">
        <w:rPr>
          <w:rFonts w:eastAsia="Times New Roman"/>
        </w:rPr>
        <w:t>Según la determinación de equivalencia, los productos agrícolas para su uso como material de propagación vegetativa, alimentos y piensos producidos, procesados y certificados como orgánicos de acuerdo con las reglamentaciones orgánicas del USDA por QCS, independientemente del origen, no tienen que obtener la certificación de Régimen Orgánico de Canadá (COR) para que su producto ingrese a Canadá y se represente como "orgánico"</w:t>
      </w:r>
      <w:r w:rsidR="00573CA5" w:rsidRPr="00077910">
        <w:rPr>
          <w:rStyle w:val="FootnoteReference"/>
          <w:rFonts w:asciiTheme="minorHAnsi" w:eastAsia="Times New Roman" w:hAnsiTheme="minorHAnsi" w:cstheme="minorHAnsi"/>
        </w:rPr>
        <w:footnoteReference w:id="3"/>
      </w:r>
      <w:r w:rsidRPr="00077910">
        <w:rPr>
          <w:rFonts w:eastAsia="Times New Roman" w:cstheme="minorHAnsi"/>
        </w:rPr>
        <w:t>.</w:t>
      </w:r>
      <w:r w:rsidRPr="5DF576CE">
        <w:rPr>
          <w:rFonts w:eastAsia="Times New Roman"/>
        </w:rPr>
        <w:t xml:space="preserve"> Para los productos minoristas, las etiquetas o calcomanías deben indicar el nombre del agente certificador de EE. UU. o Canadá y pueden usar el sello orgánico del USDA o el logotipo orgánico de Canadá. Todas las etiquetas de productos para las exportaciones del USDA a Canadá deben estar en inglés y francés y cumplir con </w:t>
      </w:r>
      <w:hyperlink r:id="rId28" w:history="1">
        <w:r w:rsidRPr="5DF576CE">
          <w:rPr>
            <w:rStyle w:val="Hyperlink"/>
            <w:rFonts w:asciiTheme="minorHAnsi" w:eastAsia="Times New Roman" w:hAnsiTheme="minorHAnsi" w:cstheme="minorBidi"/>
          </w:rPr>
          <w:t>los requisitos de etiquetado de COR</w:t>
        </w:r>
      </w:hyperlink>
      <w:r w:rsidR="00CF204E" w:rsidRPr="008D54AE">
        <w:rPr>
          <w:rFonts w:eastAsia="Times New Roman"/>
          <w:lang w:val="es-ES"/>
        </w:rPr>
        <w:t xml:space="preserve">. </w:t>
      </w:r>
    </w:p>
    <w:p w14:paraId="07887CC8" w14:textId="78C8D71D" w:rsidR="00AB4F4E" w:rsidRPr="008D54AE" w:rsidRDefault="227E1361" w:rsidP="00337BBD">
      <w:pPr>
        <w:rPr>
          <w:rFonts w:eastAsia="Times New Roman"/>
          <w:lang w:val="es-ES"/>
        </w:rPr>
      </w:pPr>
      <w:r w:rsidRPr="227E1361">
        <w:rPr>
          <w:rFonts w:eastAsia="Times New Roman"/>
        </w:rPr>
        <w:t xml:space="preserve">Según este acuerdo, </w:t>
      </w:r>
    </w:p>
    <w:p w14:paraId="1A27B271" w14:textId="5CC39A70" w:rsidR="00AB4F4E" w:rsidRPr="003E428D" w:rsidRDefault="227E1361" w:rsidP="002735CF">
      <w:pPr>
        <w:pStyle w:val="ListParagraph"/>
        <w:numPr>
          <w:ilvl w:val="2"/>
          <w:numId w:val="19"/>
        </w:numPr>
        <w:contextualSpacing w:val="0"/>
        <w:rPr>
          <w:rFonts w:eastAsia="Times New Roman"/>
          <w:lang w:val="es-ES"/>
        </w:rPr>
      </w:pPr>
      <w:r w:rsidRPr="227E1361">
        <w:rPr>
          <w:rFonts w:eastAsia="Times New Roman"/>
        </w:rPr>
        <w:t>Los productos agrícolas producidos con el uso de nitrato de sodio no se venderán ni comercializarán como orgánicos en Canadá.</w:t>
      </w:r>
    </w:p>
    <w:p w14:paraId="7FF54BD9" w14:textId="5D7180EB" w:rsidR="00AB4F4E" w:rsidRPr="003E428D" w:rsidRDefault="227E1361" w:rsidP="002735CF">
      <w:pPr>
        <w:pStyle w:val="ListParagraph"/>
        <w:numPr>
          <w:ilvl w:val="2"/>
          <w:numId w:val="19"/>
        </w:numPr>
        <w:contextualSpacing w:val="0"/>
        <w:rPr>
          <w:rFonts w:eastAsia="Times New Roman"/>
          <w:lang w:val="es-ES"/>
        </w:rPr>
      </w:pPr>
      <w:r w:rsidRPr="227E1361">
        <w:rPr>
          <w:rFonts w:eastAsia="Times New Roman"/>
        </w:rPr>
        <w:t>Los productos agrícolas producidos por métodos de producción hidropónicos o aeropónicos no se venderán ni comercializarán como orgánicos en Canadá.</w:t>
      </w:r>
    </w:p>
    <w:p w14:paraId="006BC9E2" w14:textId="09C3C1E5" w:rsidR="00AB4F4E" w:rsidRPr="00960FB0" w:rsidRDefault="227E1361" w:rsidP="002735CF">
      <w:pPr>
        <w:pStyle w:val="ListParagraph"/>
        <w:numPr>
          <w:ilvl w:val="2"/>
          <w:numId w:val="19"/>
        </w:numPr>
        <w:contextualSpacing w:val="0"/>
        <w:rPr>
          <w:rFonts w:eastAsia="Times New Roman" w:cs="Times New Roman"/>
          <w:lang w:val="es-ES"/>
        </w:rPr>
      </w:pPr>
      <w:r w:rsidRPr="227E1361">
        <w:rPr>
          <w:rFonts w:eastAsia="Times New Roman"/>
        </w:rPr>
        <w:t>Los productos agrícolas derivados de animales (con la excepción de los rumiantes) deben producirse de acuerdo con las tasas de cría de ganado establecidas en las regulaciones orgánicas de Canadá</w:t>
      </w:r>
      <w:r w:rsidRPr="227E1361">
        <w:rPr>
          <w:rFonts w:eastAsia="Source Sans Pro"/>
          <w:color w:val="212121"/>
        </w:rPr>
        <w:t>, CAN /CGSB32.310-2006</w:t>
      </w:r>
      <w:r w:rsidRPr="227E1361">
        <w:rPr>
          <w:rFonts w:eastAsia="Times New Roman"/>
        </w:rPr>
        <w:t>.</w:t>
      </w:r>
    </w:p>
    <w:p w14:paraId="422C94EE" w14:textId="34648BE1" w:rsidR="00CF204E" w:rsidRPr="00FE7F19" w:rsidRDefault="5DF576CE" w:rsidP="002735CF">
      <w:pPr>
        <w:pStyle w:val="ListParagraph"/>
        <w:numPr>
          <w:ilvl w:val="2"/>
          <w:numId w:val="19"/>
        </w:numPr>
        <w:contextualSpacing w:val="0"/>
        <w:rPr>
          <w:rFonts w:eastAsia="Times New Roman"/>
          <w:b/>
          <w:bCs/>
          <w:lang w:val="es-ES"/>
        </w:rPr>
      </w:pPr>
      <w:r w:rsidRPr="5DF576CE">
        <w:rPr>
          <w:rFonts w:eastAsia="Times New Roman"/>
        </w:rPr>
        <w:t xml:space="preserve">El acuerdo de equivalencia entre EE. UU. y Canadá no se extiende a los acuerdos de reconocimiento del USDA con India, Israel y Nueva Zelanda. Los productos orgánicos USDA certificados por organismos de certificación acreditados de India, Israel y Nueva Zelanda son solo para exportación directa a EE. UU. Consulte </w:t>
      </w:r>
      <w:hyperlink r:id="rId29" w:history="1">
        <w:r w:rsidRPr="5DF576CE">
          <w:rPr>
            <w:rStyle w:val="Hyperlink"/>
            <w:rFonts w:asciiTheme="minorHAnsi" w:eastAsia="Times New Roman" w:hAnsiTheme="minorHAnsi" w:cstheme="minorBidi"/>
          </w:rPr>
          <w:t>el sitio web del Gobierno de Canadá</w:t>
        </w:r>
      </w:hyperlink>
      <w:r w:rsidRPr="5DF576CE">
        <w:rPr>
          <w:rFonts w:eastAsia="Times New Roman"/>
        </w:rPr>
        <w:t xml:space="preserve"> para obtener más información.</w:t>
      </w:r>
    </w:p>
    <w:p w14:paraId="7A443967" w14:textId="3128C6CB" w:rsidR="00A75B75" w:rsidRPr="00FE7F19" w:rsidRDefault="227E1361" w:rsidP="002735CF">
      <w:pPr>
        <w:pStyle w:val="ListParagraph"/>
        <w:numPr>
          <w:ilvl w:val="2"/>
          <w:numId w:val="19"/>
        </w:numPr>
        <w:contextualSpacing w:val="0"/>
        <w:rPr>
          <w:rFonts w:eastAsia="Times New Roman"/>
          <w:lang w:val="es-ES"/>
        </w:rPr>
      </w:pPr>
      <w:r w:rsidRPr="00FE7F19">
        <w:rPr>
          <w:rFonts w:eastAsia="Times New Roman"/>
        </w:rPr>
        <w:t>Las plantas acuáticas son elegibles para la certificación orgánica del USDA según los estándares de cultivo (</w:t>
      </w:r>
      <w:hyperlink r:id="rId30" w:history="1">
        <w:r w:rsidRPr="00FE7F19">
          <w:rPr>
            <w:rStyle w:val="Hyperlink"/>
            <w:rFonts w:asciiTheme="minorHAnsi" w:hAnsiTheme="minorHAnsi" w:cstheme="minorBidi"/>
          </w:rPr>
          <w:t>Nota de política 12-1</w:t>
        </w:r>
      </w:hyperlink>
      <w:r w:rsidRPr="00FE7F19">
        <w:rPr>
          <w:rFonts w:eastAsia="Times New Roman"/>
        </w:rPr>
        <w:t>) y pueden venderse o comercializarse como orgánicas en Canadá.</w:t>
      </w:r>
    </w:p>
    <w:p w14:paraId="23B6C66D" w14:textId="620110A3" w:rsidR="004607A8" w:rsidRDefault="227E1361" w:rsidP="00337BBD">
      <w:pPr>
        <w:rPr>
          <w:rFonts w:eastAsia="Times New Roman"/>
        </w:rPr>
      </w:pPr>
      <w:r w:rsidRPr="227E1361">
        <w:rPr>
          <w:rFonts w:eastAsia="Times New Roman"/>
        </w:rPr>
        <w:t xml:space="preserve">Los productos orgánicos de EE. UU. exportados a Canadá deben ir acompañados de un certificado orgánico emitido por un agente certificador acreditado por el USDA reconocido según los términos del acuerdo de equivalencia entre EE. UU. y Canadá. El certificado orgánico emitido por el agente certificador del USDA debe incluir la siguiente declaración de atestación: </w:t>
      </w:r>
    </w:p>
    <w:p w14:paraId="1E34FE2A" w14:textId="77C1E852" w:rsidR="00EA25EB" w:rsidRPr="00D47F00" w:rsidRDefault="227E1361" w:rsidP="00337BBD">
      <w:pPr>
        <w:rPr>
          <w:lang w:val="en-US"/>
        </w:rPr>
      </w:pPr>
      <w:r w:rsidRPr="00D47F00">
        <w:rPr>
          <w:color w:val="212121"/>
          <w:lang w:val="en-US"/>
        </w:rPr>
        <w:t xml:space="preserve">“Certified in </w:t>
      </w:r>
      <w:r w:rsidRPr="00D47F00">
        <w:rPr>
          <w:rFonts w:eastAsia="Source Sans Pro"/>
          <w:color w:val="212121"/>
          <w:lang w:val="en-US"/>
        </w:rPr>
        <w:t>accordance</w:t>
      </w:r>
      <w:r w:rsidRPr="00D47F00">
        <w:rPr>
          <w:color w:val="212121"/>
          <w:lang w:val="en-US"/>
        </w:rPr>
        <w:t xml:space="preserve"> with the terms of the </w:t>
      </w:r>
      <w:r w:rsidRPr="00D47F00">
        <w:rPr>
          <w:rFonts w:eastAsia="Source Sans Pro"/>
          <w:color w:val="212121"/>
          <w:lang w:val="en-US"/>
        </w:rPr>
        <w:t>U.S.-</w:t>
      </w:r>
      <w:r w:rsidRPr="00D47F00">
        <w:rPr>
          <w:color w:val="212121"/>
          <w:lang w:val="en-US"/>
        </w:rPr>
        <w:t>Canada Organic Equivalency Arrangement.”</w:t>
      </w:r>
    </w:p>
    <w:p w14:paraId="7097D900" w14:textId="79ABACB5" w:rsidR="00603863" w:rsidRPr="00603863" w:rsidRDefault="227E1361" w:rsidP="00337BBD">
      <w:pPr>
        <w:rPr>
          <w:rFonts w:eastAsia="Times New Roman"/>
          <w:lang w:val="es-ES"/>
        </w:rPr>
      </w:pPr>
      <w:r w:rsidRPr="227E1361">
        <w:rPr>
          <w:rFonts w:eastAsia="Times New Roman"/>
        </w:rPr>
        <w:t>“Certificado de acuerdo con los términos del Acuerdo de Equivalencia Orgánica de EE. UU. y Canadá”.</w:t>
      </w:r>
    </w:p>
    <w:p w14:paraId="7879869C" w14:textId="7D5D5EB7" w:rsidR="00A87EAE" w:rsidRPr="00A87EAE" w:rsidRDefault="227E1361" w:rsidP="00337BBD">
      <w:pPr>
        <w:rPr>
          <w:rFonts w:eastAsia="Times New Roman"/>
          <w:lang w:val="es-ES"/>
        </w:rPr>
      </w:pPr>
      <w:r w:rsidRPr="227E1361">
        <w:rPr>
          <w:rFonts w:eastAsia="Times New Roman"/>
        </w:rPr>
        <w:t xml:space="preserve">Consulte los requisitos para los productos orgánicos USDA exportados a Canadá descritos en </w:t>
      </w:r>
      <w:hyperlink r:id="rId31" w:history="1">
        <w:r w:rsidRPr="227E1361">
          <w:rPr>
            <w:rStyle w:val="Hyperlink"/>
            <w:rFonts w:asciiTheme="minorHAnsi" w:eastAsia="Times New Roman" w:hAnsiTheme="minorHAnsi" w:cstheme="minorBidi"/>
          </w:rPr>
          <w:t>el sitio web del Gobierno de Canadá</w:t>
        </w:r>
      </w:hyperlink>
      <w:r w:rsidRPr="227E1361">
        <w:rPr>
          <w:rFonts w:eastAsia="Times New Roman"/>
        </w:rPr>
        <w:t xml:space="preserve">. </w:t>
      </w:r>
    </w:p>
    <w:p w14:paraId="6539481C" w14:textId="4326C5B1" w:rsidR="00661000" w:rsidRPr="00661000" w:rsidRDefault="227E1361" w:rsidP="00350B10">
      <w:pPr>
        <w:pStyle w:val="Heading4"/>
        <w:rPr>
          <w:lang w:val="es-ES"/>
        </w:rPr>
      </w:pPr>
      <w:r w:rsidRPr="227E1361">
        <w:lastRenderedPageBreak/>
        <w:t xml:space="preserve">Acuerdo de </w:t>
      </w:r>
      <w:r w:rsidR="00C10EB4">
        <w:t>e</w:t>
      </w:r>
      <w:r w:rsidRPr="227E1361">
        <w:t xml:space="preserve">quivalencia </w:t>
      </w:r>
      <w:r w:rsidR="00C10EB4">
        <w:t>o</w:t>
      </w:r>
      <w:r w:rsidRPr="227E1361">
        <w:t>rgánica entre</w:t>
      </w:r>
      <w:r w:rsidR="00300CD1">
        <w:t xml:space="preserve"> </w:t>
      </w:r>
      <w:r w:rsidRPr="227E1361">
        <w:t>Estados Unidos y la Unión Europea</w:t>
      </w:r>
      <w:r w:rsidR="00C10EB4">
        <w:t xml:space="preserve"> (</w:t>
      </w:r>
      <w:r w:rsidR="00C10EB4" w:rsidRPr="227E1361">
        <w:t>US-European Union Organic Equivalence Arrangement</w:t>
      </w:r>
      <w:r w:rsidR="00C10EB4">
        <w:t>)</w:t>
      </w:r>
    </w:p>
    <w:p w14:paraId="06D75B35" w14:textId="7C3569A4" w:rsidR="00CF204E" w:rsidRPr="00661000" w:rsidRDefault="227E1361" w:rsidP="00011272">
      <w:pPr>
        <w:spacing w:after="120"/>
        <w:rPr>
          <w:rFonts w:eastAsia="Times New Roman"/>
          <w:lang w:val="es"/>
        </w:rPr>
      </w:pPr>
      <w:r w:rsidRPr="227E1361">
        <w:rPr>
          <w:rFonts w:eastAsia="Times New Roman"/>
        </w:rPr>
        <w:t>Bajo la determinación de Equivalencia,</w:t>
      </w:r>
      <w:r w:rsidRPr="00FE7F19">
        <w:t xml:space="preserve"> los productos exportados desde los Estados Unidos y certificados según las regulaciones orgánicas del USDA pueden ser etiquetados y vendidos como orgánicos en Europa. Este acuerdo se limita a productos orgánicos de EE. UU., ya sea producidos dentro de EE. UU. o donde el procesamiento final o el empaquetado ocurren dentro de EE. UU. </w:t>
      </w:r>
    </w:p>
    <w:p w14:paraId="7E5E92A1" w14:textId="1C8A3B42" w:rsidR="00CF204E" w:rsidRPr="00661000" w:rsidRDefault="227E1361" w:rsidP="00011272">
      <w:pPr>
        <w:spacing w:after="120"/>
        <w:rPr>
          <w:rFonts w:eastAsia="Times New Roman"/>
          <w:lang w:val="es"/>
        </w:rPr>
      </w:pPr>
      <w:r w:rsidRPr="00FE7F19">
        <w:t>Bajo este arreglo, los cultivos orgánicos certificados por el USDA producidos usando antibióticos (estreptomicina para el control del fuego bacteriano en manzanas y peras) no deben ser exportados a la UE bajo el acuerdo.</w:t>
      </w:r>
    </w:p>
    <w:p w14:paraId="6029C085" w14:textId="3BD3368B" w:rsidR="00CF204E" w:rsidRPr="00FE7F19" w:rsidRDefault="227E1361" w:rsidP="00011272">
      <w:pPr>
        <w:spacing w:after="120" w:line="240" w:lineRule="auto"/>
      </w:pPr>
      <w:r w:rsidRPr="00FE7F19">
        <w:t xml:space="preserve">Para productos al detalle, las etiquetas o pegatinas deben indicar el nombre del agente certificador de EE. UU. o de la UE y pueden usar el sello Orgánico del USDA o el logotipo orgánico de la UE. Los productos exportados deben cumplir con los requisitos de etiquetado en el país de destino. </w:t>
      </w:r>
      <w:hyperlink r:id="rId32" w:history="1">
        <w:r w:rsidRPr="227E1361">
          <w:rPr>
            <w:rStyle w:val="Hyperlink"/>
            <w:rFonts w:asciiTheme="minorHAnsi" w:hAnsiTheme="minorHAnsi" w:cstheme="minorBidi"/>
          </w:rPr>
          <w:t>Requisitos de Etiquetado de la UE</w:t>
        </w:r>
      </w:hyperlink>
    </w:p>
    <w:p w14:paraId="0BA51AFA" w14:textId="22610E94" w:rsidR="00CF204E" w:rsidRPr="00661000" w:rsidRDefault="227E1361" w:rsidP="00011272">
      <w:pPr>
        <w:spacing w:after="120"/>
      </w:pPr>
      <w:r w:rsidRPr="00FE7F19">
        <w:t>Un agente certificador acreditado por el USDA (también llamado “cuerpo de control”) debe completar un Certificado de Inspección electrónico a través de TRACES para todos los productos orgánicos del USDA comercializados bajo el arreglo. Las regulaciones de la Unión Europea requieren que el COI sea emitido por el agente certificador acreditado por el USDA en el momento en que el envío sale del puerto de exportación de EE. UU. Los envíos de productos orgánicos del USDA que salen del puerto de EE. UU. sin un COI, o con un COI emitido después de la salida, corren el riesgo de que las autoridades portuarias extranjeras rechacen la entrada, incauten o destruyan los bienes</w:t>
      </w:r>
      <w:r w:rsidRPr="227E1361">
        <w:t>.</w:t>
      </w:r>
    </w:p>
    <w:p w14:paraId="0F53F23A" w14:textId="42216285" w:rsidR="227E1361" w:rsidRDefault="227E1361" w:rsidP="00350B10">
      <w:pPr>
        <w:pStyle w:val="Heading4"/>
      </w:pPr>
      <w:r w:rsidRPr="227E1361">
        <w:t>Acuerdo de Equivalencia Orgánica entre Estados Unidos y Taiwán</w:t>
      </w:r>
      <w:r w:rsidR="00C10EB4">
        <w:t xml:space="preserve"> (</w:t>
      </w:r>
      <w:r w:rsidR="00C10EB4" w:rsidRPr="227E1361">
        <w:t>US-Taiwan Organic Export Arrangement</w:t>
      </w:r>
      <w:r w:rsidR="00C10EB4">
        <w:t>)</w:t>
      </w:r>
    </w:p>
    <w:p w14:paraId="5A9115B0" w14:textId="05CDAC97" w:rsidR="227E1361" w:rsidRPr="00FE7F19" w:rsidRDefault="227E1361" w:rsidP="00011272">
      <w:pPr>
        <w:spacing w:after="120"/>
      </w:pPr>
      <w:r w:rsidRPr="00FE7F19">
        <w:t xml:space="preserve">Bajo la determinación de </w:t>
      </w:r>
      <w:r w:rsidR="00C10EB4">
        <w:t>e</w:t>
      </w:r>
      <w:r w:rsidRPr="00FE7F19">
        <w:t>quivalencia, los productos exportados desde y certificados en los Estados Unidos según las regulaciones orgánicas del USDA pueden ser etiquetados y vendidos como orgánicos en Taiwán. Este acuerdo se limita a productos orgánicos de EE. UU., ya sea producidos en EE. UU. o donde el procesamiento final o el empaquetado ocurren en EE. UU.</w:t>
      </w:r>
    </w:p>
    <w:p w14:paraId="0BC39523" w14:textId="4BD33D52" w:rsidR="227E1361" w:rsidRPr="00FE7F19" w:rsidRDefault="227E1361" w:rsidP="00011272">
      <w:pPr>
        <w:spacing w:after="120"/>
      </w:pPr>
      <w:r w:rsidRPr="00FE7F19">
        <w:t>Bajo este arreglo, productos en las categorías de cultivos, cultivos silvestres, ganado y productos procesados pueden ser exportados a Taiwán.</w:t>
      </w:r>
    </w:p>
    <w:p w14:paraId="4E1B6037" w14:textId="0F3C0B7F" w:rsidR="227E1361" w:rsidRPr="00FE7F19" w:rsidRDefault="227E1361" w:rsidP="00011272">
      <w:pPr>
        <w:spacing w:after="120"/>
      </w:pPr>
      <w:r w:rsidRPr="00FE7F19">
        <w:t>Los productos orgánicos deben ir acompañados de un Certificado de Exportación del USDA, Formulario TM-11, emitido por un agente certificador acreditado por el USDA. Todos los agentes certificadores acreditados por el USDA (certificadores) pueden emitir el Certificado de Exportación TM-11 a Taiwán para productos orgánicos certificados por el USDA que se produzcan dentro de los Estados Unidos, o productos para los cuales el procesamiento final o el empaquetado ocurren en los Estados Unidos. Para emitir el Certificado de Exportación TM-11, los certificadores deben verificar que los productos cumplan con los términos del acuerdo comercial bajo el cual se están exportando.</w:t>
      </w:r>
    </w:p>
    <w:p w14:paraId="1736E270" w14:textId="27F17C21" w:rsidR="227E1361" w:rsidRPr="00FE7F19" w:rsidRDefault="227E1361" w:rsidP="00300CD1">
      <w:pPr>
        <w:spacing w:before="120" w:after="120"/>
      </w:pPr>
      <w:r w:rsidRPr="00FE7F19">
        <w:t>El certificado de exportación TM-11 debe ser firmado por un agente certificador acreditado por el USDA e incluir la siguiente declaración: “Certificado en cumplimiento con los términos del Acuerdo de Equivalencia Orgánica AIT/TECRO-NOP/AFA". Los certificadores deben usar acrónimos asignados en la Base de Datos de INTEGRIDAD Orgánica del USDA al completar el Certificado de Exportación TM-11, como se describe en las Instrucciones del TM-11.</w:t>
      </w:r>
    </w:p>
    <w:p w14:paraId="2CA0CFAF" w14:textId="454A38D3" w:rsidR="227E1361" w:rsidRDefault="227E1361" w:rsidP="00300CD1">
      <w:pPr>
        <w:spacing w:before="120" w:after="120"/>
      </w:pPr>
      <w:r w:rsidRPr="00FE7F19">
        <w:rPr>
          <w:u w:val="single"/>
        </w:rPr>
        <w:lastRenderedPageBreak/>
        <w:t xml:space="preserve">Para </w:t>
      </w:r>
      <w:r w:rsidR="00805239">
        <w:rPr>
          <w:u w:val="single"/>
        </w:rPr>
        <w:t xml:space="preserve">productos </w:t>
      </w:r>
      <w:r w:rsidRPr="00FE7F19">
        <w:rPr>
          <w:u w:val="single"/>
        </w:rPr>
        <w:t>gana</w:t>
      </w:r>
      <w:r w:rsidR="00805239">
        <w:rPr>
          <w:u w:val="single"/>
        </w:rPr>
        <w:t>deros</w:t>
      </w:r>
      <w:r w:rsidRPr="00FE7F19">
        <w:rPr>
          <w:u w:val="single"/>
        </w:rPr>
        <w:t xml:space="preserve"> y productos cárnicos:</w:t>
      </w:r>
      <w:r w:rsidRPr="00FE7F19">
        <w:t xml:space="preserve"> Los productos orgánicos de ganado o carne deben ser manejados y producidos sin el uso de analgésicos o anestésicos sistémicos, incluyendo el uso de Lidocaína o Procaína</w:t>
      </w:r>
      <w:r w:rsidRPr="227E1361">
        <w:t>.</w:t>
      </w:r>
    </w:p>
    <w:p w14:paraId="32B11782" w14:textId="56CB8E0B" w:rsidR="227E1361" w:rsidRDefault="227E1361" w:rsidP="00300CD1">
      <w:pPr>
        <w:spacing w:before="120" w:after="120" w:line="240" w:lineRule="auto"/>
      </w:pPr>
      <w:r w:rsidRPr="00FE7F19">
        <w:t>Para productos al detalle, las etiquetas o pegatinas deben indicar el nombre del agente certificador de EE. UU. o Taiwán y pueden usar el sello Orgánico del USDA. Los productos orgánicos exportados deben cumplir con los requisitos de etiquetado en el país de destino. El uso de la marca orgánica de Taiwán está restringido solo para su uso por negocios de Taiwán y no puede ser aplicado a productos orgánicos del USDA</w:t>
      </w:r>
      <w:r w:rsidRPr="227E1361">
        <w:t>.</w:t>
      </w:r>
    </w:p>
    <w:p w14:paraId="28763C23" w14:textId="29D6E370" w:rsidR="00DF7B76" w:rsidRPr="00C60574" w:rsidRDefault="227E1361" w:rsidP="00350B10">
      <w:pPr>
        <w:pStyle w:val="Heading4"/>
        <w:rPr>
          <w:lang w:val="es-ES"/>
        </w:rPr>
      </w:pPr>
      <w:r w:rsidRPr="227E1361">
        <w:t>Acuerdo de Equivalencia Orgánica entre Estados Unidos de América y Japón</w:t>
      </w:r>
      <w:r w:rsidR="00805239">
        <w:t xml:space="preserve"> (</w:t>
      </w:r>
      <w:r w:rsidR="00805239" w:rsidRPr="227E1361">
        <w:t>US-Japan Organic Equivalence Arrangement</w:t>
      </w:r>
      <w:r w:rsidR="00805239">
        <w:t>)</w:t>
      </w:r>
    </w:p>
    <w:p w14:paraId="7F007729" w14:textId="5E5073F0" w:rsidR="006F26E7" w:rsidRPr="0026526D" w:rsidRDefault="227E1361" w:rsidP="00011272">
      <w:pPr>
        <w:spacing w:after="120"/>
        <w:rPr>
          <w:shd w:val="clear" w:color="auto" w:fill="FFFFFF"/>
          <w:lang w:val="es-ES"/>
        </w:rPr>
      </w:pPr>
      <w:r w:rsidRPr="00FE7F19">
        <w:t xml:space="preserve">El arreglo de equivalencia orgánica con Japón se limita a productos certificados según las regulaciones orgánicas del USDA que se producen o han tenido su procesamiento final dentro de EE. UU. La equivalencia solo cubre productos orgánicos del USDA que están bajo el alcance de las regulaciones orgánicas de Japón. Los productos orgánicos que no están regulados bajo las regulaciones orgánicas de Japón, pero están certificados por un certificador acreditado por el USDA, pueden ser exportados a Japón bajo las condiciones de la Sección II.E., Apéndice I de </w:t>
      </w:r>
      <w:hyperlink r:id="rId33" w:history="1">
        <w:r w:rsidRPr="227E1361">
          <w:rPr>
            <w:rStyle w:val="Hyperlink"/>
            <w:rFonts w:asciiTheme="minorHAnsi" w:hAnsiTheme="minorHAnsi" w:cstheme="minorBidi"/>
          </w:rPr>
          <w:t>la carta de equivalencia del Ministerio de Agricultura, Silvicultura y Pesca de Japón (MAFF) del 20 de septiembre de 2013</w:t>
        </w:r>
      </w:hyperlink>
      <w:r w:rsidRPr="00FE7F19">
        <w:t>.</w:t>
      </w:r>
    </w:p>
    <w:p w14:paraId="202037D1" w14:textId="215760AA" w:rsidR="006F26E7" w:rsidRPr="00327C1B" w:rsidRDefault="227E1361" w:rsidP="00011272">
      <w:pPr>
        <w:spacing w:after="120"/>
        <w:rPr>
          <w:rFonts w:eastAsia="Times New Roman"/>
          <w:lang w:val="es-ES"/>
        </w:rPr>
      </w:pPr>
      <w:r w:rsidRPr="227E1361">
        <w:rPr>
          <w:rFonts w:eastAsia="Times New Roman"/>
        </w:rPr>
        <w:t>Los productos producidos bajo el acuerdo deben cumplir con el USDA organic regulations para el uso del término "organic" y el sello del USDA, y deben cumplir con los requisitos del Japanese Ministry of Agriculture, Forestry and Fisheries para el uso del sello JAS. Las plantas, incluidos los hongos y los alimentos procesados de origen vegetal, como el jugo de uva o la harina de maíz, también deben llevar el sello JAS. Estos productos también pueden usar el sello del USDA. Los exportadores estadounidenses que tienen un contrato con un importador certificado por JAS pueden aplicar el logotipo de JAS a sus plantas o productos procesados a base de plantas de una de estas dos maneras:</w:t>
      </w:r>
    </w:p>
    <w:p w14:paraId="6CCA8EAD" w14:textId="11144219" w:rsidR="00DE525A" w:rsidRPr="00FE7F19" w:rsidRDefault="227E1361" w:rsidP="00011272">
      <w:pPr>
        <w:spacing w:after="120"/>
      </w:pPr>
      <w:r w:rsidRPr="00FE7F19">
        <w:t>Los productos orgánicos del USDA exportados a Japón que caen bajo el alcance del arreglo deben ir acompañados de un Certificado de Exportación del USDA, Formulario TM-11, emitido por un certificador acreditado por el USDA. El certificado de exportación debe incluir la siguiente declaración: “Certificado en cumplimiento con los términos del Arreglo de Equivalencia Orgánica entre EE. UU. y Japón”. Este certificado verifica que el producto cumple con los términos del acuerdo comercial.</w:t>
      </w:r>
    </w:p>
    <w:p w14:paraId="4A222B74" w14:textId="4DA8740A" w:rsidR="00DE525A" w:rsidRPr="00327C1B" w:rsidRDefault="227E1361" w:rsidP="00011272">
      <w:pPr>
        <w:spacing w:after="120"/>
      </w:pPr>
      <w:r w:rsidRPr="00FE7F19">
        <w:t xml:space="preserve">Los productos exportados bajo el arreglo deben cumplir con los requisitos del Ministerio de Agricultura, Silvicultura y Pesca de Japón para el uso del sello JAS. Consulte el </w:t>
      </w:r>
      <w:hyperlink r:id="rId34" w:history="1">
        <w:r w:rsidRPr="227E1361">
          <w:rPr>
            <w:rStyle w:val="Hyperlink"/>
            <w:rFonts w:asciiTheme="minorHAnsi" w:hAnsiTheme="minorHAnsi" w:cstheme="minorBidi"/>
          </w:rPr>
          <w:t>uso del logotipo JAS en productos importados a Japón.</w:t>
        </w:r>
      </w:hyperlink>
    </w:p>
    <w:p w14:paraId="00D2A78A" w14:textId="656B142A" w:rsidR="00DE525A" w:rsidRPr="00FE7F19" w:rsidRDefault="227E1361" w:rsidP="00011272">
      <w:pPr>
        <w:spacing w:after="120"/>
      </w:pPr>
      <w:r w:rsidRPr="00FE7F19">
        <w:t>El logotipo orgánico JAS solo debe ser adjuntado por importadores certificados por organismos certificadores japoneses acreditados.</w:t>
      </w:r>
    </w:p>
    <w:p w14:paraId="50EE0CC3" w14:textId="0FEB9112" w:rsidR="006F26E7" w:rsidRPr="0050351D" w:rsidRDefault="227E1361" w:rsidP="00011272">
      <w:pPr>
        <w:spacing w:after="120"/>
        <w:jc w:val="left"/>
        <w:rPr>
          <w:rFonts w:eastAsia="Times New Roman"/>
          <w:lang w:val="es-ES"/>
        </w:rPr>
      </w:pPr>
      <w:r w:rsidRPr="227E1361">
        <w:rPr>
          <w:rFonts w:eastAsia="Times New Roman"/>
        </w:rPr>
        <w:t xml:space="preserve">Para obtener más información sobre el etiquetado, la exportación de productos no elegibles para JAS y la exportación de bebidas alcohólicas, utilice el siguiente enlace </w:t>
      </w:r>
      <w:hyperlink r:id="rId35">
        <w:r w:rsidR="00A24C2A">
          <w:rPr>
            <w:rStyle w:val="Hyperlink"/>
            <w:rFonts w:asciiTheme="minorHAnsi" w:eastAsia="Times New Roman" w:hAnsiTheme="minorHAnsi" w:cstheme="minorBidi"/>
          </w:rPr>
          <w:t>USDA NOP exportación de productos orgánicos a Japón (.pdf)</w:t>
        </w:r>
      </w:hyperlink>
      <w:r w:rsidRPr="227E1361">
        <w:rPr>
          <w:rFonts w:eastAsia="Times New Roman"/>
        </w:rPr>
        <w:t>.</w:t>
      </w:r>
    </w:p>
    <w:p w14:paraId="08845C7E" w14:textId="6FD57349" w:rsidR="004210A5" w:rsidRPr="00954EA5" w:rsidRDefault="227E1361" w:rsidP="00350B10">
      <w:pPr>
        <w:pStyle w:val="Heading4"/>
      </w:pPr>
      <w:r w:rsidRPr="227E1361">
        <w:lastRenderedPageBreak/>
        <w:t>Acuerdo de Equivalencia Orgánica entre Estados Unidos de América y la República de Corea</w:t>
      </w:r>
      <w:r w:rsidR="006712BD">
        <w:t xml:space="preserve"> (</w:t>
      </w:r>
      <w:r w:rsidR="006712BD" w:rsidRPr="227E1361">
        <w:t xml:space="preserve">US-Republic of Korea </w:t>
      </w:r>
      <w:r w:rsidR="006712BD">
        <w:t xml:space="preserve">Organic </w:t>
      </w:r>
      <w:r w:rsidR="006712BD" w:rsidRPr="227E1361">
        <w:t>Equivalence Arrangement</w:t>
      </w:r>
      <w:r w:rsidR="006712BD">
        <w:t>)</w:t>
      </w:r>
    </w:p>
    <w:p w14:paraId="2056041E" w14:textId="5486944A" w:rsidR="00CF204E" w:rsidRPr="00981AB3" w:rsidRDefault="227E1361" w:rsidP="00011272">
      <w:pPr>
        <w:spacing w:after="120"/>
        <w:rPr>
          <w:rFonts w:eastAsia="Times New Roman"/>
          <w:lang w:val="es-ES"/>
        </w:rPr>
      </w:pPr>
      <w:r w:rsidRPr="227E1361">
        <w:rPr>
          <w:rFonts w:ascii="Calibri" w:eastAsia="Calibri" w:hAnsi="Calibri" w:cs="Calibri"/>
        </w:rPr>
        <w:t>EE. UU. tiene un arreglo de equivalencia orgánica con Corea para alimentos procesados orgánicos. Los productos certificados según las regulaciones orgánicas del USDA que han tenido su procesamiento final dentro de EE. UU. y cumplen con todos los demás términos del arreglo pueden ser exportados como orgánicos a la República de Corea.</w:t>
      </w:r>
      <w:r w:rsidRPr="227E1361">
        <w:rPr>
          <w:rFonts w:eastAsia="Times New Roman"/>
        </w:rPr>
        <w:t xml:space="preserve"> </w:t>
      </w:r>
    </w:p>
    <w:p w14:paraId="741E152A" w14:textId="23618A04" w:rsidR="00CF204E" w:rsidRPr="00553483" w:rsidRDefault="227E1361" w:rsidP="00011272">
      <w:pPr>
        <w:spacing w:after="120"/>
        <w:rPr>
          <w:rFonts w:eastAsia="Times New Roman"/>
          <w:lang w:val="es-ES"/>
        </w:rPr>
      </w:pPr>
      <w:r w:rsidRPr="00FE7F19">
        <w:t>Las siguientes estipulaciones deben ser cumplidas por los operadores y verificadas como conformes por QCS;</w:t>
      </w:r>
    </w:p>
    <w:p w14:paraId="5528E749" w14:textId="6FF88149" w:rsidR="227E1361" w:rsidRDefault="227E1361" w:rsidP="004B1571">
      <w:pPr>
        <w:pStyle w:val="ListParagraph"/>
        <w:numPr>
          <w:ilvl w:val="1"/>
          <w:numId w:val="9"/>
        </w:numPr>
        <w:spacing w:after="0"/>
        <w:ind w:left="720"/>
        <w:rPr>
          <w:rFonts w:eastAsia="Times New Roman"/>
        </w:rPr>
      </w:pPr>
      <w:r w:rsidRPr="00FE7F19">
        <w:t>Los productos orgánicos deben contener al menos un 95% de contenido orgánico.</w:t>
      </w:r>
    </w:p>
    <w:p w14:paraId="5DA45CEA" w14:textId="18BFC7A0" w:rsidR="227E1361" w:rsidRDefault="227E1361" w:rsidP="004B1571">
      <w:pPr>
        <w:pStyle w:val="ListParagraph"/>
        <w:numPr>
          <w:ilvl w:val="1"/>
          <w:numId w:val="9"/>
        </w:numPr>
        <w:spacing w:after="0"/>
        <w:ind w:left="720"/>
      </w:pPr>
      <w:r w:rsidRPr="00FE7F19">
        <w:t>Los productos orgánicos deben cumplir con la definición de "alimento procesado" según lo definido por el Artículo 1.2.29 del Código de Alimentos de Corea. "Alimento procesado" se refiere a un alimento fabricado, procesado y empaquetado al agregar alimentos o aditivos alimentarios a materias primas alimentarias (productos agrícolas, forestales, ganaderos o marinos), transformando materias primas alimentarias (como moler o cortar) hasta que su forma original no pueda ser reconocida, o mezclando tales transformados o agregando alimentos o aditivos alimentarios a tal mezcla. Sin embargo, donde, sin el uso de aditivos alimentarios u otros materiales, los productos agrícolas, forestales, ganaderos o marinos se cortan, pelan, salan, maduran o calientan (excepto los casos donde el calentamiento se realiza para esterilización o el calentamiento causa cambios significativos en esos productos) hasta que sus formas originales pueden ser reconocidas o donde no se esperan riesgos sanitarios de los procesos de tratamiento y las materias primas alimentarias son simplemente tratadas para permitir la identificación organoléptica de la calidad alimentaria, dichos productos alimentarios están excluidos de la definición de alimento procesado.</w:t>
      </w:r>
    </w:p>
    <w:p w14:paraId="0473C0BD" w14:textId="36A5C8C2" w:rsidR="00F23626" w:rsidRPr="001251A4" w:rsidRDefault="227E1361" w:rsidP="004B1571">
      <w:pPr>
        <w:pStyle w:val="ListParagraph"/>
        <w:numPr>
          <w:ilvl w:val="1"/>
          <w:numId w:val="9"/>
        </w:numPr>
        <w:spacing w:after="0"/>
        <w:ind w:left="720"/>
        <w:rPr>
          <w:rFonts w:eastAsia="Times New Roman"/>
          <w:lang w:val="es-ES"/>
        </w:rPr>
      </w:pPr>
      <w:r w:rsidRPr="227E1361">
        <w:rPr>
          <w:rFonts w:eastAsia="Times New Roman"/>
        </w:rPr>
        <w:t xml:space="preserve">Los productos procesados que contienen manzanas o peras producidas con antibióticos y no deben ser enviados a Corea bajo el arreglo. Este acuerdo se limita a los "alimentos procesados" orgánicos para los cuales el procesamiento final o el empaque se produce dentro del país de exportación, ya sea EE. UU. o Corea. </w:t>
      </w:r>
    </w:p>
    <w:p w14:paraId="79D7BAB7" w14:textId="4CFEFCC0" w:rsidR="227E1361" w:rsidRPr="00FE7F19" w:rsidRDefault="227E1361" w:rsidP="004B1571">
      <w:pPr>
        <w:pStyle w:val="ListParagraph"/>
        <w:numPr>
          <w:ilvl w:val="1"/>
          <w:numId w:val="9"/>
        </w:numPr>
        <w:spacing w:after="0"/>
        <w:ind w:left="720"/>
      </w:pPr>
      <w:r w:rsidRPr="00FE7F19">
        <w:t>El procesamiento final debe ocurrir en los Estados Unidos.</w:t>
      </w:r>
    </w:p>
    <w:p w14:paraId="6B4DFA74" w14:textId="479FB74E" w:rsidR="227E1361" w:rsidRPr="00FE7F19" w:rsidRDefault="227E1361" w:rsidP="004B1571">
      <w:pPr>
        <w:pStyle w:val="ListParagraph"/>
        <w:numPr>
          <w:ilvl w:val="1"/>
          <w:numId w:val="9"/>
        </w:numPr>
        <w:spacing w:after="0"/>
        <w:ind w:left="720"/>
      </w:pPr>
      <w:r w:rsidRPr="00FE7F19">
        <w:t>Los productos están sujetos a los requisitos de prueba de residuos, incluyendo pruebas de sustancias y métodos prohibidos, y con acciones regulatorias subsiguientes, según corresponda de acuerdo con el Artículo 23-1 y el Artículo 31 de la Ley de Corea sobre la Promoción de Agricultura y Pesca Ambientalmente Amigables y la Gestión y Apoyo para Alimentos Orgánicos, en Corea.</w:t>
      </w:r>
    </w:p>
    <w:p w14:paraId="09CF8DD4" w14:textId="602275D7" w:rsidR="00CF204E" w:rsidRPr="00A24C2A" w:rsidRDefault="227E1361" w:rsidP="00D02436">
      <w:pPr>
        <w:spacing w:after="120"/>
        <w:rPr>
          <w:rFonts w:ascii="Calibri" w:eastAsia="Times New Roman" w:hAnsi="Calibri" w:cs="Calibri"/>
        </w:rPr>
      </w:pPr>
      <w:r w:rsidRPr="00FE7F19">
        <w:t xml:space="preserve">Los productos orgánicos del USDA exportados bajo el arreglo deben estar etiquetados de acuerdo con los requisitos de etiquetado orgánico de MAFRA y pueden mostrar la etiqueta de alimentos orgánicos de Corea y/o el sello orgánico del </w:t>
      </w:r>
      <w:r w:rsidRPr="00A24C2A">
        <w:rPr>
          <w:rFonts w:ascii="Calibri" w:hAnsi="Calibri" w:cs="Calibri"/>
        </w:rPr>
        <w:t xml:space="preserve">USDA. Consulte </w:t>
      </w:r>
      <w:hyperlink r:id="rId36" w:history="1">
        <w:r w:rsidR="006712BD" w:rsidRPr="00A24C2A">
          <w:rPr>
            <w:rStyle w:val="Hyperlink"/>
            <w:rFonts w:ascii="Calibri" w:eastAsia="Times New Roman" w:hAnsi="Calibri" w:cs="Calibri"/>
          </w:rPr>
          <w:t>orientación sobre el uso del logotipo coreano</w:t>
        </w:r>
      </w:hyperlink>
      <w:r w:rsidRPr="00A24C2A">
        <w:rPr>
          <w:rStyle w:val="Hyperlink"/>
          <w:rFonts w:ascii="Calibri" w:eastAsia="Times New Roman" w:hAnsi="Calibri" w:cs="Calibri"/>
          <w:color w:val="auto"/>
          <w:u w:val="none"/>
        </w:rPr>
        <w:t>.</w:t>
      </w:r>
      <w:r w:rsidRPr="00A24C2A">
        <w:rPr>
          <w:rFonts w:ascii="Calibri" w:eastAsia="Times New Roman" w:hAnsi="Calibri" w:cs="Calibri"/>
        </w:rPr>
        <w:t xml:space="preserve"> </w:t>
      </w:r>
    </w:p>
    <w:p w14:paraId="39824232" w14:textId="2237F7D5" w:rsidR="00B91111" w:rsidRPr="00D02436" w:rsidRDefault="00215191" w:rsidP="00D02436">
      <w:pPr>
        <w:spacing w:after="120"/>
      </w:pPr>
      <w:r>
        <w:rPr>
          <w:rFonts w:eastAsia="Times New Roman"/>
        </w:rPr>
        <w:t xml:space="preserve">Productos exportados bajo este acuerdo de equivalencia </w:t>
      </w:r>
      <w:r w:rsidR="006A693A">
        <w:rPr>
          <w:rFonts w:eastAsia="Times New Roman"/>
        </w:rPr>
        <w:t>deben ser acompañados por un Certificado de Importación NAQS de alimentos procesados orgánicos</w:t>
      </w:r>
      <w:r w:rsidR="006D2E7A">
        <w:rPr>
          <w:rFonts w:eastAsia="Times New Roman"/>
        </w:rPr>
        <w:t xml:space="preserve">. El certificado de importación NAQS debe ser emitidos por </w:t>
      </w:r>
      <w:hyperlink r:id="rId37" w:history="1">
        <w:r w:rsidR="006C7292">
          <w:rPr>
            <w:rStyle w:val="Hyperlink"/>
            <w:rFonts w:asciiTheme="minorHAnsi" w:hAnsiTheme="minorHAnsi" w:cstheme="minorHAnsi"/>
          </w:rPr>
          <w:t>el Sistema de certificados de importación e-NAQS de Corea</w:t>
        </w:r>
      </w:hyperlink>
      <w:r w:rsidR="006C7292" w:rsidRPr="006C7292">
        <w:rPr>
          <w:rStyle w:val="Hyperlink"/>
          <w:rFonts w:asciiTheme="minorHAnsi" w:hAnsiTheme="minorHAnsi" w:cstheme="minorHAnsi"/>
          <w:color w:val="auto"/>
          <w:u w:val="none"/>
        </w:rPr>
        <w:t xml:space="preserve">. </w:t>
      </w:r>
    </w:p>
    <w:p w14:paraId="59238E40" w14:textId="7246E610" w:rsidR="00B65157" w:rsidRPr="0009045A" w:rsidRDefault="227E1361" w:rsidP="00350B10">
      <w:pPr>
        <w:pStyle w:val="Heading4"/>
        <w:rPr>
          <w:rFonts w:eastAsia="Calibri"/>
          <w:lang w:val="es-ES"/>
        </w:rPr>
      </w:pPr>
      <w:r w:rsidRPr="227E1361">
        <w:lastRenderedPageBreak/>
        <w:t>Acuerdo de Equivalencia Orgánica entre Estados Unidos de América y Suiza</w:t>
      </w:r>
      <w:r w:rsidR="006712BD">
        <w:t xml:space="preserve"> (</w:t>
      </w:r>
      <w:r w:rsidR="006712BD" w:rsidRPr="227E1361">
        <w:rPr>
          <w:rFonts w:eastAsia="Calibri"/>
        </w:rPr>
        <w:t xml:space="preserve">US-Switzerland </w:t>
      </w:r>
      <w:r w:rsidR="006712BD">
        <w:rPr>
          <w:rFonts w:eastAsia="Calibri"/>
        </w:rPr>
        <w:t xml:space="preserve">Organic </w:t>
      </w:r>
      <w:r w:rsidR="006712BD" w:rsidRPr="227E1361">
        <w:rPr>
          <w:rFonts w:eastAsia="Calibri"/>
        </w:rPr>
        <w:t>Equivalenc</w:t>
      </w:r>
      <w:r w:rsidR="00A24C2A">
        <w:rPr>
          <w:rFonts w:eastAsia="Calibri"/>
        </w:rPr>
        <w:t>e</w:t>
      </w:r>
      <w:r w:rsidR="006712BD" w:rsidRPr="227E1361">
        <w:rPr>
          <w:rFonts w:eastAsia="Calibri"/>
        </w:rPr>
        <w:t xml:space="preserve"> Arrangement</w:t>
      </w:r>
      <w:r w:rsidR="006712BD">
        <w:rPr>
          <w:rFonts w:eastAsia="Calibri"/>
        </w:rPr>
        <w:t>)</w:t>
      </w:r>
    </w:p>
    <w:p w14:paraId="3C28171B" w14:textId="54A64381" w:rsidR="227E1361" w:rsidRPr="00300CD1" w:rsidRDefault="227E1361" w:rsidP="00011272">
      <w:pPr>
        <w:spacing w:after="120" w:line="240" w:lineRule="auto"/>
        <w:rPr>
          <w:rFonts w:eastAsia="Calibri" w:cstheme="minorHAnsi"/>
        </w:rPr>
      </w:pPr>
      <w:r w:rsidRPr="00FE7F19">
        <w:t xml:space="preserve">Los productos certificados según las regulaciones orgánicas del USDA que se producen o cuyo procesamiento final ocurre dentro de los Estados Unidos pueden ser exportados a Suiza y representados como </w:t>
      </w:r>
      <w:r w:rsidRPr="00300CD1">
        <w:rPr>
          <w:rFonts w:cstheme="minorHAnsi"/>
        </w:rPr>
        <w:t>"orgánicos" bajo los términos del arreglo de equivalencia entre EE. UU. y Suiza.</w:t>
      </w:r>
    </w:p>
    <w:p w14:paraId="547E7F65" w14:textId="31979918" w:rsidR="227E1361" w:rsidRPr="00300CD1" w:rsidRDefault="227E1361" w:rsidP="00011272">
      <w:pPr>
        <w:spacing w:after="120" w:line="240" w:lineRule="auto"/>
        <w:rPr>
          <w:rFonts w:eastAsia="Calibri" w:cstheme="minorHAnsi"/>
        </w:rPr>
      </w:pPr>
      <w:r w:rsidRPr="00300CD1">
        <w:rPr>
          <w:rFonts w:eastAsia="Calibri" w:cstheme="minorHAnsi"/>
        </w:rPr>
        <w:t>Un agente certificador acreditado por el USDA debe completar un Certificado de Inspección (COI) a través de TRACES de la Unión Europea para todos los productos orgánicos del USDA exportados a Suiza bajo el arreglo. El COI debe ser emitido por el agente certificador acreditado por el USDA en el momento en que el envío sale del puerto de exportación de EE. UU.</w:t>
      </w:r>
    </w:p>
    <w:p w14:paraId="7E1E5E2B" w14:textId="334B47B1" w:rsidR="227E1361" w:rsidRPr="00300CD1" w:rsidRDefault="227E1361" w:rsidP="00011272">
      <w:pPr>
        <w:spacing w:after="120" w:line="240" w:lineRule="auto"/>
        <w:rPr>
          <w:rFonts w:eastAsia="Calibri" w:cstheme="minorHAnsi"/>
          <w:lang w:val="es"/>
        </w:rPr>
      </w:pPr>
      <w:r w:rsidRPr="00300CD1">
        <w:rPr>
          <w:rFonts w:eastAsia="Calibri" w:cstheme="minorHAnsi"/>
        </w:rPr>
        <w:t>Cualquier producto de vino orgánico debe ser producido y etiquetado de acuerdo con la ordenanza orgánica suiza.</w:t>
      </w:r>
    </w:p>
    <w:p w14:paraId="4E873256" w14:textId="76F591CB" w:rsidR="227E1361" w:rsidRPr="00300CD1" w:rsidRDefault="227E1361" w:rsidP="00011272">
      <w:pPr>
        <w:spacing w:after="120" w:line="240" w:lineRule="auto"/>
        <w:rPr>
          <w:rFonts w:eastAsia="Calibri" w:cstheme="minorHAnsi"/>
        </w:rPr>
      </w:pPr>
      <w:r w:rsidRPr="00300CD1">
        <w:rPr>
          <w:rFonts w:eastAsia="Calibri" w:cstheme="minorHAnsi"/>
        </w:rPr>
        <w:t xml:space="preserve">Los productos orgánicos de EE. UU. exportados a Suiza deben estar etiquetados de acuerdo con los requisitos de etiquetado orgánico suizos y pueden mostrar el sello orgánico del USDA. No hay un sello orgánico suizo. Consulte los Requisitos de Etiquetado Suizos en </w:t>
      </w:r>
      <w:hyperlink r:id="rId38" w:history="1">
        <w:r w:rsidR="002A511F">
          <w:rPr>
            <w:rStyle w:val="Hyperlink"/>
            <w:rFonts w:asciiTheme="minorHAnsi" w:hAnsiTheme="minorHAnsi" w:cstheme="minorHAnsi"/>
          </w:rPr>
          <w:t>la página de web sobre reglas de etiquetado suiza</w:t>
        </w:r>
      </w:hyperlink>
      <w:r w:rsidRPr="00300CD1">
        <w:rPr>
          <w:rFonts w:eastAsia="Calibri" w:cstheme="minorHAnsi"/>
        </w:rPr>
        <w:t>.</w:t>
      </w:r>
    </w:p>
    <w:p w14:paraId="61AA18A6" w14:textId="65618244" w:rsidR="000C11CB" w:rsidRPr="0009045A" w:rsidRDefault="227E1361" w:rsidP="00350B10">
      <w:pPr>
        <w:pStyle w:val="Heading4"/>
        <w:rPr>
          <w:rFonts w:eastAsia="Calibri"/>
          <w:lang w:val="es-ES"/>
        </w:rPr>
      </w:pPr>
      <w:bookmarkStart w:id="36" w:name="_Toc500935031"/>
      <w:r w:rsidRPr="227E1361">
        <w:t>Acuerdo de Equivalencia Orgánica entre Estados Unidos y el Reino Unido</w:t>
      </w:r>
      <w:r w:rsidR="006C7292">
        <w:t xml:space="preserve"> (</w:t>
      </w:r>
      <w:r w:rsidR="006C7292" w:rsidRPr="227E1361">
        <w:rPr>
          <w:rFonts w:eastAsia="Calibri"/>
        </w:rPr>
        <w:t>US-United Kingdom (UK) Equivalenc</w:t>
      </w:r>
      <w:r w:rsidR="00A24C2A">
        <w:rPr>
          <w:rFonts w:eastAsia="Calibri"/>
        </w:rPr>
        <w:t>e</w:t>
      </w:r>
      <w:r w:rsidR="006C7292" w:rsidRPr="227E1361">
        <w:rPr>
          <w:rFonts w:eastAsia="Calibri"/>
        </w:rPr>
        <w:t xml:space="preserve"> Arrangement</w:t>
      </w:r>
      <w:r w:rsidR="006C7292">
        <w:t>)</w:t>
      </w:r>
    </w:p>
    <w:p w14:paraId="07223648" w14:textId="19E41A72" w:rsidR="227E1361" w:rsidRDefault="227E1361" w:rsidP="00011272">
      <w:pPr>
        <w:spacing w:after="120" w:line="240" w:lineRule="auto"/>
        <w:rPr>
          <w:rFonts w:eastAsia="Times New Roman"/>
          <w:lang w:val="es"/>
        </w:rPr>
      </w:pPr>
      <w:r w:rsidRPr="00FE7F19">
        <w:t xml:space="preserve">Bajo la determinación de Equivalencia, los operadores que están certificados según las regulaciones orgánicas del USDA y por QCS, y producen o tienen el procesamiento final dentro de EE. UU., no tienen que estar certificados según las normas orgánicas del Reino Unido para exportar su producto al Reino Unido desde Estados Unidos y representarlo como orgánico. El Reino Unido ha implementado normas orgánicas basadas en la </w:t>
      </w:r>
      <w:r w:rsidR="00A24C2A">
        <w:t>UE</w:t>
      </w:r>
      <w:r w:rsidRPr="00FE7F19">
        <w:t xml:space="preserve"> 834/2007. QCS está acreditado por DEFRA para certificar operaciones según la Norma Orgánica del Reino Unido.</w:t>
      </w:r>
    </w:p>
    <w:p w14:paraId="2739D1B8" w14:textId="352F4AE9" w:rsidR="227E1361" w:rsidRDefault="227E1361" w:rsidP="00011272">
      <w:pPr>
        <w:spacing w:after="120" w:line="240" w:lineRule="auto"/>
        <w:rPr>
          <w:rFonts w:eastAsia="Times New Roman"/>
          <w:lang w:val="es"/>
        </w:rPr>
      </w:pPr>
      <w:r w:rsidRPr="00FE7F19">
        <w:rPr>
          <w:rFonts w:eastAsia="Times New Roman"/>
        </w:rPr>
        <w:t>Bajo este arreglo, los productos agrícolas derivados de animales tratados con antibióticos y animales acuáticos no pueden ser exportados al Reino Unido como orgánicos certificados por EE. UU.</w:t>
      </w:r>
    </w:p>
    <w:p w14:paraId="7CC867D6" w14:textId="76AE448A" w:rsidR="227E1361" w:rsidRDefault="227E1361" w:rsidP="00011272">
      <w:pPr>
        <w:spacing w:after="120" w:line="240" w:lineRule="auto"/>
        <w:rPr>
          <w:rFonts w:eastAsia="Times New Roman"/>
          <w:lang w:val="es"/>
        </w:rPr>
      </w:pPr>
      <w:r w:rsidRPr="00FE7F19">
        <w:rPr>
          <w:rFonts w:eastAsia="Times New Roman"/>
        </w:rPr>
        <w:t>El vino destinado a la exportación al Reino Unido desde EE. UU. debe ser producido y etiquetado de acuerdo con los requisitos de producción y etiquetado orgánico del Reino Unido.</w:t>
      </w:r>
    </w:p>
    <w:p w14:paraId="00D9CAE6" w14:textId="69C5BEEF" w:rsidR="227E1361" w:rsidRPr="00FE7F19" w:rsidRDefault="227E1361" w:rsidP="00011272">
      <w:pPr>
        <w:spacing w:after="120" w:line="240" w:lineRule="auto"/>
        <w:rPr>
          <w:rFonts w:eastAsia="Times New Roman"/>
        </w:rPr>
      </w:pPr>
      <w:r w:rsidRPr="00FE7F19">
        <w:rPr>
          <w:rFonts w:eastAsia="Times New Roman"/>
        </w:rPr>
        <w:t>Todos los productos certificados orgánicos por el USDA exportados al Reino Unido deben ir acompañados de un Certificado de Inspección válido. Este Certificado debe ser completado por un agente certificador acreditado por el USDA.</w:t>
      </w:r>
    </w:p>
    <w:p w14:paraId="1FAFF779" w14:textId="4A461213" w:rsidR="00C91C3A" w:rsidRPr="00A35A12" w:rsidRDefault="227E1361" w:rsidP="00350B10">
      <w:pPr>
        <w:pStyle w:val="Heading2"/>
      </w:pPr>
      <w:r w:rsidRPr="227E1361">
        <w:t>Reino Unido (UK) Producción y Etiquetado orgánico en Países Terceros</w:t>
      </w:r>
      <w:r w:rsidR="00E722E5">
        <w:t xml:space="preserve"> (</w:t>
      </w:r>
      <w:r w:rsidR="00E722E5" w:rsidRPr="227E1361">
        <w:rPr>
          <w:rFonts w:eastAsia="Calibri"/>
        </w:rPr>
        <w:t>United Kingdom (UK) Organic Production and Labeling in Third Countries</w:t>
      </w:r>
      <w:r w:rsidR="00E722E5">
        <w:t>)</w:t>
      </w:r>
    </w:p>
    <w:p w14:paraId="0A6ACDCD" w14:textId="0C6641B3" w:rsidR="00C346DB" w:rsidRPr="00EB7B2A" w:rsidRDefault="227E1361" w:rsidP="00EB7B2A">
      <w:pPr>
        <w:rPr>
          <w:rFonts w:eastAsia="Calibri"/>
          <w:lang w:val="es-ES"/>
        </w:rPr>
      </w:pPr>
      <w:r w:rsidRPr="227E1361">
        <w:rPr>
          <w:rFonts w:eastAsia="Times New Roman"/>
        </w:rPr>
        <w:t>Las operaciones ubicadas fuera de los EE. UU. y Canadá, cuyos productos tienen su empaque final o procesamiento fuera de los EE. UU. o Canadá, no son elegibles para exportar productos orgánicos bajo el programa de equivalencia de EE. UU.-</w:t>
      </w:r>
      <w:r w:rsidRPr="00FE7F19">
        <w:t xml:space="preserve">Reino Unido. Además, los operadores ubicados dentro de EE. UU. y Canadá que producen o manejan productos que no son elegibles para la certificación orgánica bajo los regímenes orgánicos del USDA NOP y Canadá CFIA pueden solicitar la certificación bajo la norma orgánica del Reino Unido DEFRA. Estas operaciones deben estar certificadas según los requisitos de producción y certificación orgánica del Reglamento (UE) 2018/848. QCS está reconocido por la Comisión Europea en el Reglamento (UE) 2021/2325 y de acuerdo con el Reglamento (UE) 2018/848 como un organismo de </w:t>
      </w:r>
      <w:r w:rsidRPr="00FE7F19">
        <w:lastRenderedPageBreak/>
        <w:t>control con requisitos equivalentes de producción y certificación orgánica de la UE. A partir de 2023, el Reino Unido ha instaurado su propio programa de certificación orgánica bajo el cual QCS está reconocido como certificador. Todos los productos certificados orgánicos exportados al Reino Unido deben ir acompañados de un Certificado de Inspección válido de Gran Bretaña emitido por QCS.</w:t>
      </w:r>
      <w:bookmarkEnd w:id="36"/>
    </w:p>
    <w:p w14:paraId="3C785EEA" w14:textId="51E2C90F" w:rsidR="006E4D36" w:rsidRPr="00114482" w:rsidRDefault="227E1361" w:rsidP="00350B10">
      <w:pPr>
        <w:pStyle w:val="Heading2"/>
        <w:rPr>
          <w:rFonts w:eastAsia="Calibri"/>
        </w:rPr>
      </w:pPr>
      <w:r w:rsidRPr="227E1361">
        <w:rPr>
          <w:rFonts w:eastAsia="Calibri"/>
        </w:rPr>
        <w:t>Reglamento (CEE) No 834/2007 y 889/2008 del Consejo Europeo y Normas Equivalentes de</w:t>
      </w:r>
      <w:r w:rsidR="00B662B6">
        <w:rPr>
          <w:rFonts w:eastAsia="Calibri"/>
        </w:rPr>
        <w:t xml:space="preserve"> </w:t>
      </w:r>
      <w:r w:rsidRPr="227E1361">
        <w:rPr>
          <w:rFonts w:eastAsia="Calibri"/>
        </w:rPr>
        <w:t>Suiza</w:t>
      </w:r>
    </w:p>
    <w:p w14:paraId="1E1D728A" w14:textId="7155914C" w:rsidR="009106A3" w:rsidRPr="005D4FDF" w:rsidRDefault="227E1361" w:rsidP="00337BBD">
      <w:pPr>
        <w:spacing w:line="240" w:lineRule="auto"/>
        <w:rPr>
          <w:rFonts w:eastAsia="Calibri"/>
        </w:rPr>
      </w:pPr>
      <w:r w:rsidRPr="227E1361">
        <w:t>QCS está reconocido por la Comisión Europea como un organismo de control bajo el Artículo 33(3) del Reglamento del Consejo (CE) Nº 834/2007 con un estándar privado equivalente con el propósito de importar productos orgánicos a la Unión según lo establecido en el Anexo II al Reglamento (UE) 2021/2325.</w:t>
      </w:r>
    </w:p>
    <w:p w14:paraId="1D05AFA4" w14:textId="6B2C475B" w:rsidR="009106A3" w:rsidRPr="005D4FDF" w:rsidRDefault="227E1361" w:rsidP="00337BBD">
      <w:pPr>
        <w:spacing w:line="240" w:lineRule="auto"/>
        <w:rPr>
          <w:rFonts w:eastAsia="Calibri"/>
          <w:lang w:val="es"/>
        </w:rPr>
      </w:pPr>
      <w:r w:rsidRPr="00FE7F19">
        <w:rPr>
          <w:rFonts w:eastAsia="Calibri"/>
        </w:rPr>
        <w:t>El estándar privado equivalente también está reconocido por la Oficina Federal de Agricultura de Suiza (FOAG). QCS está autorizado para emitir certificados de exportación a aquellas operaciones verificadas como conformes con los estándares privados de QCS para productos exportados a la Unión Europea o Suiza.</w:t>
      </w:r>
    </w:p>
    <w:p w14:paraId="0BAE0899" w14:textId="05C79B35" w:rsidR="009106A3" w:rsidRPr="00FE7F19" w:rsidRDefault="227E1361" w:rsidP="00350B10">
      <w:pPr>
        <w:pStyle w:val="Heading2"/>
        <w:rPr>
          <w:rFonts w:eastAsia="Calibri"/>
        </w:rPr>
      </w:pPr>
      <w:r w:rsidRPr="00FE7F19">
        <w:rPr>
          <w:rFonts w:eastAsia="Calibri"/>
        </w:rPr>
        <w:t>Reglamento (UE) 2018/848</w:t>
      </w:r>
    </w:p>
    <w:p w14:paraId="5EA1F17E" w14:textId="41931D64" w:rsidR="009106A3" w:rsidRPr="00FE7F19" w:rsidRDefault="227E1361" w:rsidP="00337BBD">
      <w:pPr>
        <w:spacing w:line="240" w:lineRule="auto"/>
      </w:pPr>
      <w:r w:rsidRPr="00FE7F19">
        <w:t>QCS está realizando la transición del programa de certificación orgánica para la exportación desde países terceros a la Unión Europea para cumplir con el Reglamento (UE) 2018/848 y buscando el reconocimiento de acuerdo con el Artículo 46 como un organismo de control para llevar a cabo controles y emitir certificados orgánicos en países terceros.</w:t>
      </w:r>
      <w:r w:rsidR="009C6FD8">
        <w:t xml:space="preserve"> </w:t>
      </w:r>
      <w:r w:rsidR="009C6FD8" w:rsidRPr="009C6FD8">
        <w:t>Las operaciones que completen la sección de Afirmación de Cumplimiento del Reglamento (UE) 2018/848 de la solicitud del Plan del Sistema Orgánico durante el proceso de transición del QCS deben cumplir con todos los requisitos aplicables en la fecha de entrada en vigor de la certificación orgánica del Reglamento (UE) 2018/848. QCS continuará certificando operaciones bajo los requisitos de certificación orgánica equivalentes de QCS EU 834-2007 hasta la fecha de vigencia de la certificación 848 y a más tardar el 1 de enero de 2025.</w:t>
      </w:r>
    </w:p>
    <w:p w14:paraId="5F25161F" w14:textId="11A42170" w:rsidR="00EE285D" w:rsidRPr="00BC378F" w:rsidRDefault="009965D4" w:rsidP="00350B10">
      <w:pPr>
        <w:pStyle w:val="Heading2"/>
        <w:rPr>
          <w:rFonts w:eastAsia="Calibri"/>
          <w:noProof/>
          <w:lang w:val="es-ES"/>
        </w:rPr>
      </w:pPr>
      <w:r w:rsidRPr="227E1361">
        <w:rPr>
          <w:lang w:val="es-ES"/>
        </w:rPr>
        <w:t xml:space="preserve">Régimen Orgánico de Canadá </w:t>
      </w:r>
      <w:r>
        <w:rPr>
          <w:lang w:val="es-ES"/>
        </w:rPr>
        <w:t>(</w:t>
      </w:r>
      <w:r w:rsidR="227E1361" w:rsidRPr="227E1361">
        <w:rPr>
          <w:rFonts w:eastAsia="Calibri"/>
        </w:rPr>
        <w:t>Canada Organic Regime</w:t>
      </w:r>
      <w:r>
        <w:rPr>
          <w:rFonts w:eastAsia="Calibri"/>
        </w:rPr>
        <w:t xml:space="preserve">, </w:t>
      </w:r>
      <w:r w:rsidR="227E1361" w:rsidRPr="227E1361">
        <w:rPr>
          <w:rFonts w:eastAsia="Calibri"/>
        </w:rPr>
        <w:t>COR)</w:t>
      </w:r>
    </w:p>
    <w:p w14:paraId="413041A5" w14:textId="50A4B398" w:rsidR="00CF204E" w:rsidRPr="00BC378F" w:rsidRDefault="00BC378F" w:rsidP="00337BBD">
      <w:pPr>
        <w:rPr>
          <w:rFonts w:eastAsia="Calibri"/>
          <w:lang w:val="es-ES"/>
        </w:rPr>
      </w:pPr>
      <w:r w:rsidRPr="00BD7868">
        <w:rPr>
          <w:rFonts w:eastAsia="Calibri"/>
          <w:lang w:val="es-ES"/>
        </w:rPr>
        <w:t>QCS proporciona una evaluación de la(s) práctica(s) d</w:t>
      </w:r>
      <w:r w:rsidR="00ED41D8">
        <w:rPr>
          <w:rFonts w:eastAsia="Calibri"/>
          <w:lang w:val="es-ES"/>
        </w:rPr>
        <w:t>e la operación</w:t>
      </w:r>
      <w:r w:rsidRPr="00BD7868">
        <w:rPr>
          <w:rFonts w:eastAsia="Calibri"/>
          <w:lang w:val="es-ES"/>
        </w:rPr>
        <w:t xml:space="preserve"> de acuerdo con </w:t>
      </w:r>
      <w:r w:rsidR="009E0D83">
        <w:rPr>
          <w:rFonts w:eastAsia="Calibri"/>
          <w:lang w:val="es-ES"/>
        </w:rPr>
        <w:t>el</w:t>
      </w:r>
      <w:r w:rsidRPr="00BD7868">
        <w:rPr>
          <w:rFonts w:eastAsia="Calibri"/>
          <w:lang w:val="es-ES"/>
        </w:rPr>
        <w:t xml:space="preserve"> </w:t>
      </w:r>
      <w:r w:rsidR="00067A0B">
        <w:rPr>
          <w:rFonts w:eastAsia="Calibri"/>
          <w:lang w:val="es-ES"/>
        </w:rPr>
        <w:t>Canad</w:t>
      </w:r>
      <w:r w:rsidR="009E0D83">
        <w:rPr>
          <w:rFonts w:eastAsia="Calibri"/>
          <w:lang w:val="es-ES"/>
        </w:rPr>
        <w:t>a</w:t>
      </w:r>
      <w:r w:rsidR="00067A0B">
        <w:rPr>
          <w:rFonts w:eastAsia="Calibri"/>
          <w:lang w:val="es-ES"/>
        </w:rPr>
        <w:t xml:space="preserve"> Organic </w:t>
      </w:r>
      <w:r w:rsidR="009E0D83">
        <w:rPr>
          <w:rFonts w:eastAsia="Calibri"/>
          <w:lang w:val="es-ES"/>
        </w:rPr>
        <w:t>Regime</w:t>
      </w:r>
      <w:r w:rsidRPr="00BD7868">
        <w:rPr>
          <w:rFonts w:eastAsia="Calibri"/>
          <w:lang w:val="es-ES"/>
        </w:rPr>
        <w:t xml:space="preserve"> para la </w:t>
      </w:r>
      <w:r w:rsidR="00995EA1" w:rsidRPr="00995EA1">
        <w:rPr>
          <w:rFonts w:eastAsia="Calibri"/>
          <w:lang w:val="es-ES"/>
        </w:rPr>
        <w:t xml:space="preserve">certificación de productos alimenticios y productos acuícolas como orgánicos y actividades de envasado y etiquetado de acuerdo con los requisitos establecidos en la División 4, Parte 13 de las Regulaciones de Alimentos Seguros para los </w:t>
      </w:r>
      <w:proofErr w:type="gramStart"/>
      <w:r w:rsidR="00995EA1" w:rsidRPr="00995EA1">
        <w:rPr>
          <w:rFonts w:eastAsia="Calibri"/>
          <w:lang w:val="es-ES"/>
        </w:rPr>
        <w:t>Canadienses</w:t>
      </w:r>
      <w:proofErr w:type="gramEnd"/>
      <w:r w:rsidR="00995EA1" w:rsidRPr="00995EA1">
        <w:rPr>
          <w:rFonts w:eastAsia="Calibri"/>
          <w:lang w:val="es-ES"/>
        </w:rPr>
        <w:t xml:space="preserve"> y los requisitos descritos en el Manual Operativo del Régimen Orgánico de Canadá.</w:t>
      </w:r>
      <w:r w:rsidRPr="00BD7868">
        <w:rPr>
          <w:rFonts w:eastAsia="Calibri"/>
          <w:lang w:val="es-ES"/>
        </w:rPr>
        <w:t xml:space="preserve"> Los productos de fertilizantes no tienen estándares técnicos dentro de</w:t>
      </w:r>
      <w:r w:rsidR="009E0D83">
        <w:rPr>
          <w:rFonts w:eastAsia="Calibri"/>
          <w:lang w:val="es-ES"/>
        </w:rPr>
        <w:t>l</w:t>
      </w:r>
      <w:r w:rsidRPr="00BD7868">
        <w:rPr>
          <w:rFonts w:eastAsia="Calibri"/>
          <w:lang w:val="es-ES"/>
        </w:rPr>
        <w:t xml:space="preserve"> </w:t>
      </w:r>
      <w:r w:rsidR="009E0D83">
        <w:rPr>
          <w:rFonts w:eastAsia="Calibri"/>
          <w:lang w:val="es-ES"/>
        </w:rPr>
        <w:t>Canada Organic Regime</w:t>
      </w:r>
      <w:r w:rsidRPr="00BD7868">
        <w:rPr>
          <w:rFonts w:eastAsia="Calibri"/>
          <w:lang w:val="es-ES"/>
        </w:rPr>
        <w:t>, y por lo tanto no son certificables bajo este programa. Los cosméticos, alimentos para mascotas y productos naturales para la salud están excluidos del ámbito</w:t>
      </w:r>
      <w:r w:rsidRPr="00BC378F">
        <w:rPr>
          <w:rFonts w:eastAsia="Calibri"/>
          <w:lang w:val="es-ES"/>
        </w:rPr>
        <w:t xml:space="preserve"> de </w:t>
      </w:r>
      <w:r w:rsidR="00A966C9">
        <w:rPr>
          <w:rFonts w:eastAsia="Calibri"/>
          <w:lang w:val="es-ES"/>
        </w:rPr>
        <w:t>certificación</w:t>
      </w:r>
      <w:r w:rsidRPr="00BC378F">
        <w:rPr>
          <w:rFonts w:eastAsia="Calibri"/>
          <w:lang w:val="es-ES"/>
        </w:rPr>
        <w:t xml:space="preserve">. Aunque están incluidos en </w:t>
      </w:r>
      <w:r w:rsidR="009E0D83">
        <w:rPr>
          <w:rFonts w:eastAsia="Calibri"/>
          <w:lang w:val="es-ES"/>
        </w:rPr>
        <w:t>el Canada Organic Regime</w:t>
      </w:r>
      <w:r w:rsidRPr="00BC378F">
        <w:rPr>
          <w:rFonts w:eastAsia="Calibri"/>
          <w:lang w:val="es-ES"/>
        </w:rPr>
        <w:t>, estos productos no entran dentro del mandato de la Agencia. Los productos que están excluidos del alcance, como estos, no pueden certificarse bajo las normas canadienses y no pueden llevar el logotipo orgánico de Canadá</w:t>
      </w:r>
      <w:r w:rsidR="005A40C3">
        <w:rPr>
          <w:rStyle w:val="FootnoteReference"/>
          <w:rFonts w:eastAsia="Calibri"/>
          <w:lang w:val="es-ES"/>
        </w:rPr>
        <w:footnoteReference w:id="4"/>
      </w:r>
      <w:r w:rsidR="00CF204E" w:rsidRPr="00BC378F">
        <w:rPr>
          <w:rFonts w:eastAsia="Calibri"/>
          <w:lang w:val="es-ES"/>
        </w:rPr>
        <w:t xml:space="preserve">. </w:t>
      </w:r>
    </w:p>
    <w:p w14:paraId="5B2F870F" w14:textId="638CF0F2" w:rsidR="00CF204E" w:rsidRPr="00790876" w:rsidRDefault="227E1361" w:rsidP="00337BBD">
      <w:pPr>
        <w:spacing w:line="240" w:lineRule="auto"/>
        <w:rPr>
          <w:rFonts w:eastAsia="Calibri"/>
        </w:rPr>
      </w:pPr>
      <w:r w:rsidRPr="227E1361">
        <w:rPr>
          <w:rFonts w:eastAsia="Calibri"/>
        </w:rPr>
        <w:t xml:space="preserve">QCS reconoce las decisiones tomadas por otros organismos de certificación acreditados para administrar </w:t>
      </w:r>
      <w:r w:rsidRPr="00FE7F19">
        <w:t xml:space="preserve">el Régimen Orgánico Canadiense. QCS </w:t>
      </w:r>
      <w:r w:rsidRPr="227E1361">
        <w:rPr>
          <w:rFonts w:eastAsia="Calibri"/>
        </w:rPr>
        <w:t xml:space="preserve">mantiene su responsabilidad por la decisión de </w:t>
      </w:r>
      <w:r w:rsidRPr="00FE7F19">
        <w:t>certificación resultante de este reconocimiento.</w:t>
      </w:r>
    </w:p>
    <w:p w14:paraId="24C1EC0D" w14:textId="1B347962" w:rsidR="00CF204E" w:rsidRPr="00FE7F19" w:rsidRDefault="227E1361" w:rsidP="00337BBD">
      <w:pPr>
        <w:spacing w:line="240" w:lineRule="auto"/>
        <w:rPr>
          <w:rFonts w:eastAsia="Calibri"/>
        </w:rPr>
      </w:pPr>
      <w:r w:rsidRPr="00FE7F19">
        <w:rPr>
          <w:rFonts w:eastAsia="Calibri"/>
        </w:rPr>
        <w:lastRenderedPageBreak/>
        <w:t xml:space="preserve">Los procedimientos específicos para el Régimen Orgánico Canadiense se encuentran en este manual. Los Estándares de Sistemas Generales de Principios y Gestión de Producción Orgánica y las Sustancias </w:t>
      </w:r>
      <w:r w:rsidRPr="00FE7F19">
        <w:t>Permitidas del Sistema de Producción Orgánica contienen los estándares para el cumplimiento del Régimen Orgánico Canadiense.</w:t>
      </w:r>
    </w:p>
    <w:p w14:paraId="245D1F4E" w14:textId="3142E5C9" w:rsidR="227E1361" w:rsidRPr="00FE7F19" w:rsidRDefault="227E1361" w:rsidP="00337BBD">
      <w:pPr>
        <w:spacing w:line="240" w:lineRule="auto"/>
        <w:rPr>
          <w:rFonts w:eastAsia="Calibri"/>
        </w:rPr>
      </w:pPr>
      <w:r w:rsidRPr="00FE7F19">
        <w:rPr>
          <w:rFonts w:eastAsia="Calibri"/>
        </w:rPr>
        <w:t>El Régimen Orgánico Canadiense ha sido reconocido como que cumple con los requisitos de varios gobiernos extranjeros, como Estados Unidos, Unión Europea, Costa Rica, Japón</w:t>
      </w:r>
      <w:r w:rsidR="00D52574">
        <w:rPr>
          <w:rFonts w:eastAsia="Calibri"/>
        </w:rPr>
        <w:t>, Corea del Sur</w:t>
      </w:r>
      <w:r w:rsidRPr="00FE7F19">
        <w:rPr>
          <w:rFonts w:eastAsia="Calibri"/>
        </w:rPr>
        <w:t xml:space="preserve"> y Suiza. Bajo estos acuerdos de exportación, QCS está autorizado para emitir certificados de exportación a aquellas operaciones verificadas como conformes con cualquier estándar adicional estipulado en los acuerdos.</w:t>
      </w:r>
    </w:p>
    <w:p w14:paraId="0B659A6D" w14:textId="4E7C79E7" w:rsidR="002C0FC0" w:rsidRPr="00DE0E36" w:rsidRDefault="004B1571" w:rsidP="00350B10">
      <w:pPr>
        <w:pStyle w:val="Heading2"/>
        <w:rPr>
          <w:rFonts w:eastAsia="Calibri"/>
          <w:lang w:val="es-ES"/>
        </w:rPr>
      </w:pPr>
      <w:bookmarkStart w:id="37" w:name="_Toc500935033"/>
      <w:r>
        <w:rPr>
          <w:rFonts w:eastAsia="Calibri"/>
        </w:rPr>
        <w:t xml:space="preserve">Estándar </w:t>
      </w:r>
      <w:r w:rsidR="227E1361" w:rsidRPr="227E1361">
        <w:rPr>
          <w:rFonts w:eastAsia="Calibri"/>
        </w:rPr>
        <w:t>BioSuisse</w:t>
      </w:r>
      <w:bookmarkEnd w:id="37"/>
      <w:r w:rsidR="227E1361" w:rsidRPr="227E1361">
        <w:rPr>
          <w:rFonts w:eastAsia="Calibri"/>
        </w:rPr>
        <w:t xml:space="preserve"> </w:t>
      </w:r>
      <w:r>
        <w:rPr>
          <w:rFonts w:eastAsia="Calibri"/>
        </w:rPr>
        <w:t>(Suiza)</w:t>
      </w:r>
    </w:p>
    <w:p w14:paraId="3BC2C1C0" w14:textId="35CED975" w:rsidR="227E1361" w:rsidRPr="00FE7F19" w:rsidRDefault="227E1361" w:rsidP="00337BBD">
      <w:pPr>
        <w:spacing w:line="240" w:lineRule="auto"/>
        <w:rPr>
          <w:rFonts w:eastAsia="Calibri"/>
        </w:rPr>
      </w:pPr>
      <w:r w:rsidRPr="00FE7F19">
        <w:rPr>
          <w:rFonts w:eastAsia="Calibri"/>
        </w:rPr>
        <w:t xml:space="preserve">BioSuisse es la organización orgánica en Suiza que posee la marca registrada 'Bud' y el estándar de Bio Suisse. QCS es un organismo de inspección autorizado de Certificación Internacional Bio Suisse (ICB) y puede ofrecer servicios de inspección a operadores orgánicos certificados por la UE fuera de la UE y EE. UU. que quieran exportar productos a Suiza como certificados por BioSuisse. QCS realiza inspecciones de </w:t>
      </w:r>
      <w:r w:rsidRPr="00300CD1">
        <w:rPr>
          <w:rFonts w:eastAsia="Calibri" w:cstheme="minorHAnsi"/>
        </w:rPr>
        <w:t xml:space="preserve">acuerdo con las Listas de Verificación de BioSuisse encontradas en </w:t>
      </w:r>
      <w:hyperlink r:id="rId39" w:history="1">
        <w:r w:rsidR="00266A1C">
          <w:rPr>
            <w:rStyle w:val="Hyperlink"/>
            <w:rFonts w:asciiTheme="minorHAnsi" w:hAnsiTheme="minorHAnsi" w:cstheme="minorHAnsi"/>
          </w:rPr>
          <w:t>página de descargar documentos - ichbag</w:t>
        </w:r>
      </w:hyperlink>
      <w:r w:rsidRPr="00300CD1">
        <w:rPr>
          <w:rFonts w:eastAsia="Calibri" w:cstheme="minorHAnsi"/>
        </w:rPr>
        <w:t xml:space="preserve"> y envía las listas de verificación completadas</w:t>
      </w:r>
      <w:r w:rsidRPr="00FE7F19">
        <w:rPr>
          <w:rFonts w:eastAsia="Calibri"/>
        </w:rPr>
        <w:t xml:space="preserve"> e informes de inspección orgánica a BioSuisse para la decisión final de certificación y acceso a los derechos y responsabilidades de etiquetado de BioSuisse.</w:t>
      </w:r>
    </w:p>
    <w:p w14:paraId="63025CF8" w14:textId="195031F8" w:rsidR="006714A5" w:rsidRPr="002266B0" w:rsidRDefault="227E1361" w:rsidP="00350B10">
      <w:pPr>
        <w:pStyle w:val="Heading2"/>
        <w:rPr>
          <w:rFonts w:eastAsia="Calibri"/>
          <w:lang w:val="es-ES"/>
        </w:rPr>
      </w:pPr>
      <w:r w:rsidRPr="227E1361">
        <w:rPr>
          <w:rFonts w:eastAsia="Calibri"/>
        </w:rPr>
        <w:t>KRAV (Suecia)</w:t>
      </w:r>
    </w:p>
    <w:p w14:paraId="6527BF81" w14:textId="2582D914" w:rsidR="005D66BA" w:rsidRPr="00FE7F19" w:rsidRDefault="227E1361" w:rsidP="00337BBD">
      <w:pPr>
        <w:spacing w:line="240" w:lineRule="auto"/>
      </w:pPr>
      <w:r>
        <w:t>La verificación del cumplimiento de las normativas KRAV permite a los operadores (fuera de la UE, EEE, EE. UU., Canadá, Australia, Nueva Zelanda y Japón) exportar productos orgánicos a Suecia. QCS es reconocido por KRAV, como se detalla en</w:t>
      </w:r>
      <w:r w:rsidR="00266A1C">
        <w:t xml:space="preserve"> la</w:t>
      </w:r>
      <w:r>
        <w:t xml:space="preserve"> </w:t>
      </w:r>
      <w:hyperlink r:id="rId40">
        <w:r w:rsidR="00266A1C">
          <w:rPr>
            <w:rStyle w:val="Hyperlink"/>
            <w:rFonts w:ascii="Calibri" w:eastAsia="Times New Roman" w:hAnsi="Calibri"/>
          </w:rPr>
          <w:t>página de KRAV - como realizar los requisitos adicionales</w:t>
        </w:r>
      </w:hyperlink>
      <w:r w:rsidRPr="227E1361">
        <w:rPr>
          <w:rFonts w:ascii="Calibri" w:eastAsia="Times New Roman" w:hAnsi="Calibri" w:cs="Times New Roman"/>
        </w:rPr>
        <w:t>, para realizar verificaciones de los Requisitos Adicionales de KRAV para productores de vegetales, productos lácteos, acuicultura y / o productos con múltiples ingredientes ubicados fuera de la Uni</w:t>
      </w:r>
      <w:r w:rsidRPr="227E1361">
        <w:rPr>
          <w:rFonts w:ascii="Calibri" w:eastAsia="Times New Roman" w:hAnsi="Calibri" w:cs="Calibri"/>
        </w:rPr>
        <w:t>ó</w:t>
      </w:r>
      <w:r w:rsidRPr="227E1361">
        <w:rPr>
          <w:rFonts w:ascii="Calibri" w:eastAsia="Times New Roman" w:hAnsi="Calibri" w:cs="Times New Roman"/>
        </w:rPr>
        <w:t>n Europea, Espacio Econ</w:t>
      </w:r>
      <w:r w:rsidRPr="227E1361">
        <w:rPr>
          <w:rFonts w:ascii="Calibri" w:eastAsia="Times New Roman" w:hAnsi="Calibri" w:cs="Calibri"/>
        </w:rPr>
        <w:t>ó</w:t>
      </w:r>
      <w:r w:rsidRPr="227E1361">
        <w:rPr>
          <w:rFonts w:ascii="Calibri" w:eastAsia="Times New Roman" w:hAnsi="Calibri" w:cs="Times New Roman"/>
        </w:rPr>
        <w:t>mico Europeo, Estados Unidos, Canadá, Australia, Nueva Zelanda y Japón. Los opera</w:t>
      </w:r>
      <w:r w:rsidRPr="00FE7F19">
        <w:t xml:space="preserve">dores se verifican utilizando la Lista de Verificación de Requisitos adicionales de KRAV que se encuentra en </w:t>
      </w:r>
      <w:r w:rsidR="001B3BFA">
        <w:t xml:space="preserve">la </w:t>
      </w:r>
      <w:hyperlink r:id="rId41" w:history="1">
        <w:r w:rsidR="00266A1C">
          <w:rPr>
            <w:rStyle w:val="Hyperlink"/>
            <w:rFonts w:asciiTheme="minorHAnsi" w:hAnsiTheme="minorHAnsi" w:cstheme="minorBidi"/>
          </w:rPr>
          <w:t>página de KRAV - requisitos por producto especifico</w:t>
        </w:r>
      </w:hyperlink>
      <w:r w:rsidRPr="00FE7F19">
        <w:t>. Una vez verificado, los productores pueden</w:t>
      </w:r>
      <w:r w:rsidR="00B662B6">
        <w:t xml:space="preserve"> </w:t>
      </w:r>
      <w:r w:rsidRPr="00FE7F19">
        <w:rPr>
          <w:lang w:val="es"/>
        </w:rPr>
        <w:t>declarar "Tenemos una lista de verificación que verifica el cumplimiento con los Requisitos Extra de KRAV para los siguientes tipos de productos</w:t>
      </w:r>
      <w:r w:rsidRPr="00FE7F19">
        <w:t xml:space="preserve">”. Como tal, los operadores no pueden comercializar productos como KRAV certificados, o usar el nombre o etiqueta de KRAV en la comercialización de sus productos. </w:t>
      </w:r>
    </w:p>
    <w:p w14:paraId="4CF903DF" w14:textId="3398A459" w:rsidR="00E85121" w:rsidRDefault="00350B10" w:rsidP="00350B10">
      <w:pPr>
        <w:pStyle w:val="Heading2"/>
        <w:rPr>
          <w:rFonts w:eastAsia="Calibri"/>
        </w:rPr>
      </w:pPr>
      <w:bookmarkStart w:id="38" w:name="_Toc500935034"/>
      <w:r>
        <w:rPr>
          <w:rFonts w:eastAsia="Calibri"/>
          <w:lang w:val="es"/>
        </w:rPr>
        <w:t xml:space="preserve">Regenerative Organic </w:t>
      </w:r>
      <w:r w:rsidR="00234AE4">
        <w:rPr>
          <w:rFonts w:eastAsia="Calibri"/>
          <w:lang w:val="es"/>
        </w:rPr>
        <w:t xml:space="preserve">Certified® / </w:t>
      </w:r>
      <w:r w:rsidR="227E1361" w:rsidRPr="00FE7F19">
        <w:rPr>
          <w:rFonts w:eastAsia="Calibri"/>
          <w:lang w:val="es"/>
        </w:rPr>
        <w:t>Estándares Orgánicos Regenerativos®</w:t>
      </w:r>
    </w:p>
    <w:p w14:paraId="413C5C7A" w14:textId="4B92F99C" w:rsidR="00E85121" w:rsidRPr="00FE7F19" w:rsidRDefault="227E1361" w:rsidP="3053755D">
      <w:pPr>
        <w:spacing w:line="240" w:lineRule="auto"/>
        <w:rPr>
          <w:rFonts w:eastAsia="Calibri"/>
          <w:lang w:val="es-ES"/>
        </w:rPr>
      </w:pPr>
      <w:r w:rsidRPr="3053755D">
        <w:rPr>
          <w:rFonts w:eastAsia="Calibri"/>
          <w:lang w:val="es-ES"/>
        </w:rPr>
        <w:t xml:space="preserve">Los operadores en el programa </w:t>
      </w:r>
      <w:r w:rsidR="00E2232E" w:rsidRPr="3053755D">
        <w:rPr>
          <w:rFonts w:eastAsia="Calibri"/>
          <w:lang w:val="es-ES"/>
        </w:rPr>
        <w:t>Regenerative Organic Certified</w:t>
      </w:r>
      <w:r w:rsidRPr="3053755D">
        <w:rPr>
          <w:rFonts w:eastAsia="Calibri"/>
          <w:lang w:val="es-ES"/>
        </w:rPr>
        <w:t xml:space="preserve">® deben estar primero certificados orgánicos de acuerdo con el USDA NOP. Además, los operadores deben cumplir con el Marco de </w:t>
      </w:r>
      <w:r w:rsidR="00E2232E" w:rsidRPr="3053755D">
        <w:rPr>
          <w:rFonts w:eastAsia="Calibri"/>
          <w:lang w:val="es-ES"/>
        </w:rPr>
        <w:t>Regenerative Organic Certified</w:t>
      </w:r>
      <w:r w:rsidRPr="3053755D">
        <w:rPr>
          <w:rFonts w:eastAsia="Calibri"/>
          <w:lang w:val="es-ES"/>
        </w:rPr>
        <w:t>®, que incluye directrices para operaciones agrícolas y ganaderas, transporte, sacrificio y ciertas instalaciones de procesamiento que producen alimentos y fibras que promueven prácticas de agricultura holística enfocadas en la salud del suelo y la gestión de la tierra, el bienestar animal y la justicia para agricultores y trabajadores.</w:t>
      </w:r>
    </w:p>
    <w:p w14:paraId="68C42646" w14:textId="7E77BF6E" w:rsidR="00E85121" w:rsidRDefault="00AC4261" w:rsidP="007C4F17">
      <w:pPr>
        <w:pStyle w:val="Heading2"/>
        <w:spacing w:before="240"/>
        <w:rPr>
          <w:rFonts w:eastAsia="Calibri"/>
        </w:rPr>
      </w:pPr>
      <w:r>
        <w:rPr>
          <w:rFonts w:eastAsia="Calibri"/>
        </w:rPr>
        <w:t>Programa de Ganado alimentado con pasto del OPT (</w:t>
      </w:r>
      <w:r w:rsidR="227E1361" w:rsidRPr="227E1361">
        <w:rPr>
          <w:rFonts w:eastAsia="Calibri"/>
        </w:rPr>
        <w:t>OPT Grass-Fed Organic Livestock Program</w:t>
      </w:r>
      <w:r>
        <w:rPr>
          <w:rFonts w:eastAsia="Calibri"/>
        </w:rPr>
        <w:t>)</w:t>
      </w:r>
    </w:p>
    <w:p w14:paraId="7ED2DA13" w14:textId="3CBC3DF6" w:rsidR="00B32098" w:rsidRPr="00165DAE" w:rsidRDefault="227E1361" w:rsidP="00337BBD">
      <w:pPr>
        <w:rPr>
          <w:rFonts w:eastAsia="Calibri"/>
        </w:rPr>
      </w:pPr>
      <w:r w:rsidRPr="00FE7F19">
        <w:t xml:space="preserve">Para comercializar productos bajo el sello "Grass-Fed Organic", los productos y las operaciones de manipulación deben estar certificadas como orgánicas y certificadas en conformidad con el estándar </w:t>
      </w:r>
      <w:r w:rsidRPr="00FE7F19">
        <w:lastRenderedPageBreak/>
        <w:t>especifico OPT. QCS proporciona la verificación del cumplimiento del</w:t>
      </w:r>
      <w:r w:rsidR="00B662B6">
        <w:t xml:space="preserve"> </w:t>
      </w:r>
      <w:r w:rsidRPr="00FE7F19">
        <w:rPr>
          <w:lang w:val="es"/>
        </w:rPr>
        <w:t>Programa de Ganado Orgánico Alimentado con Pasto Certificado por Organic Plus Trust Inc. a los estándares relevantes: 1) Estándares para la Producción de Animales Lácteos y Operaciones de Manejo de Productos Lácteos, y 2) Estándares para la Producción de Animales de Carne y Operaciones de Manejo de Productos.</w:t>
      </w:r>
    </w:p>
    <w:bookmarkEnd w:id="38"/>
    <w:p w14:paraId="7D33B23C" w14:textId="756651AC" w:rsidR="00125A28" w:rsidRPr="00726E8E" w:rsidRDefault="227E1361" w:rsidP="00234AE4">
      <w:pPr>
        <w:pStyle w:val="Heading2"/>
        <w:rPr>
          <w:rFonts w:eastAsia="Calibri"/>
          <w:lang w:val="es-ES"/>
        </w:rPr>
      </w:pPr>
      <w:r w:rsidRPr="227E1361">
        <w:rPr>
          <w:rFonts w:eastAsia="Calibri"/>
        </w:rPr>
        <w:t>Afirmaciones de Mercadeo Adicionales</w:t>
      </w:r>
    </w:p>
    <w:p w14:paraId="5468B7BF" w14:textId="3C30F49A" w:rsidR="00FA7888" w:rsidRDefault="227E1361" w:rsidP="00234AE4">
      <w:pPr>
        <w:pStyle w:val="Heading3"/>
      </w:pPr>
      <w:r w:rsidRPr="227E1361">
        <w:t>Afirmaciones de Mercadeo</w:t>
      </w:r>
    </w:p>
    <w:p w14:paraId="43499617" w14:textId="2ACEA3A5" w:rsidR="00CF204E" w:rsidRPr="00726E8E" w:rsidRDefault="227E1361" w:rsidP="00337BBD">
      <w:pPr>
        <w:rPr>
          <w:rFonts w:eastAsia="Times New Roman"/>
          <w:lang w:val="es-ES"/>
        </w:rPr>
      </w:pPr>
      <w:r w:rsidRPr="227E1361">
        <w:rPr>
          <w:rFonts w:eastAsia="Times New Roman"/>
        </w:rPr>
        <w:t xml:space="preserve">Los productores pueden tener productos certificados según estándares adicionales a los estándares orgánicos para llevar una etiqueta de comercialización adicional. Ejemplos de las próximas afirmaciones de etiquetas incluyen sistemas alimentarios regionales y estándares de administración social. Por favor, contacte la oficina para más información. </w:t>
      </w:r>
    </w:p>
    <w:p w14:paraId="1CE2A442" w14:textId="1B4EEFFC" w:rsidR="00FA7888" w:rsidRDefault="227E1361" w:rsidP="00234AE4">
      <w:pPr>
        <w:pStyle w:val="Heading3"/>
      </w:pPr>
      <w:r w:rsidRPr="227E1361">
        <w:t>Libre de Hormonas y Antibióticos (Ganadería)</w:t>
      </w:r>
    </w:p>
    <w:p w14:paraId="01EB2554" w14:textId="17C5DE02" w:rsidR="00CF204E" w:rsidRPr="002808F8" w:rsidRDefault="227E1361" w:rsidP="00337BBD">
      <w:pPr>
        <w:rPr>
          <w:rFonts w:eastAsia="Times New Roman"/>
          <w:lang w:val="es-ES"/>
        </w:rPr>
      </w:pPr>
      <w:r w:rsidRPr="227E1361">
        <w:rPr>
          <w:rFonts w:eastAsia="Times New Roman"/>
        </w:rPr>
        <w:t xml:space="preserve">Todos los animales sacrificados y vendidos o etiquetados como libres de hormonas y antibióticos deberán ser </w:t>
      </w:r>
      <w:r w:rsidR="00EE759F" w:rsidRPr="227E1361">
        <w:rPr>
          <w:rFonts w:eastAsia="Times New Roman"/>
        </w:rPr>
        <w:t>criados</w:t>
      </w:r>
      <w:r w:rsidRPr="227E1361">
        <w:rPr>
          <w:rFonts w:eastAsia="Times New Roman"/>
        </w:rPr>
        <w:t xml:space="preserve"> de acuerdo con todas las disposiciones para el etiquetado orgánico, con la excepción de que el productor no necesita alimentar a dichos animales con alimentos producidos orgánicamente, ni mantener el pasto bajo los requisitos de certificación orgánica.</w:t>
      </w:r>
      <w:r w:rsidR="00C2598D">
        <w:rPr>
          <w:rFonts w:eastAsia="Times New Roman"/>
        </w:rPr>
        <w:t xml:space="preserve"> </w:t>
      </w:r>
      <w:r w:rsidRPr="227E1361">
        <w:rPr>
          <w:rFonts w:eastAsia="Times New Roman"/>
        </w:rPr>
        <w:t>Por favor, contacte la oficina de QCS para obtener más información.</w:t>
      </w:r>
    </w:p>
    <w:p w14:paraId="3503BA05" w14:textId="6A41A410" w:rsidR="00C346DB" w:rsidRDefault="00C346DB" w:rsidP="00337BBD">
      <w:pPr>
        <w:rPr>
          <w:rFonts w:eastAsia="Calibri"/>
          <w:highlight w:val="yellow"/>
          <w:lang w:val="es-ES"/>
        </w:rPr>
      </w:pPr>
      <w:r>
        <w:rPr>
          <w:rFonts w:eastAsia="Calibri"/>
          <w:highlight w:val="yellow"/>
          <w:lang w:val="es-ES"/>
        </w:rPr>
        <w:br w:type="page"/>
      </w:r>
    </w:p>
    <w:p w14:paraId="6B0415A0" w14:textId="26485C55" w:rsidR="00CF204E" w:rsidRPr="00F91DD0" w:rsidRDefault="227E1361" w:rsidP="00EE759F">
      <w:pPr>
        <w:pStyle w:val="Heading1"/>
        <w:tabs>
          <w:tab w:val="left" w:pos="930"/>
        </w:tabs>
        <w:spacing w:before="0" w:after="240" w:line="240" w:lineRule="auto"/>
        <w:rPr>
          <w:rFonts w:eastAsia="Calibri"/>
          <w:b w:val="0"/>
          <w:bCs/>
          <w:szCs w:val="40"/>
          <w:lang w:val="es-419"/>
        </w:rPr>
      </w:pPr>
      <w:bookmarkStart w:id="39" w:name="_Toc277166682"/>
      <w:bookmarkStart w:id="40" w:name="_Toc474161818"/>
      <w:bookmarkStart w:id="41" w:name="_Toc474161844"/>
      <w:bookmarkStart w:id="42" w:name="_Toc500935036"/>
      <w:bookmarkStart w:id="43" w:name="_Toc159414642"/>
      <w:r w:rsidRPr="227E1361">
        <w:rPr>
          <w:szCs w:val="40"/>
        </w:rPr>
        <w:lastRenderedPageBreak/>
        <w:t xml:space="preserve">05 </w:t>
      </w:r>
      <w:bookmarkEnd w:id="39"/>
      <w:bookmarkEnd w:id="40"/>
      <w:bookmarkEnd w:id="41"/>
      <w:bookmarkEnd w:id="42"/>
      <w:r w:rsidRPr="227E1361">
        <w:rPr>
          <w:szCs w:val="40"/>
        </w:rPr>
        <w:t>Etiquetado</w:t>
      </w:r>
      <w:bookmarkEnd w:id="43"/>
    </w:p>
    <w:p w14:paraId="2942B84C" w14:textId="0FEA7BD7" w:rsidR="00CF204E" w:rsidRPr="00D479B1" w:rsidRDefault="227E1361" w:rsidP="00234AE4">
      <w:pPr>
        <w:pStyle w:val="Heading2"/>
        <w:rPr>
          <w:lang w:val="es-ES"/>
        </w:rPr>
      </w:pPr>
      <w:r w:rsidRPr="227E1361">
        <w:t>Uso del Logotipo de Certificación QCS</w:t>
      </w:r>
    </w:p>
    <w:p w14:paraId="254EAE79" w14:textId="3C034892" w:rsidR="004607A8" w:rsidRPr="00D479B1" w:rsidRDefault="227E1361" w:rsidP="00337BBD">
      <w:pPr>
        <w:rPr>
          <w:rFonts w:eastAsia="Times New Roman"/>
          <w:lang w:val="es-ES"/>
        </w:rPr>
      </w:pPr>
      <w:r w:rsidRPr="227E1361">
        <w:rPr>
          <w:rFonts w:eastAsia="Times New Roman"/>
        </w:rPr>
        <w:t>Solo después de que un operador obtenga la certificación y solo de acuerdo con las disposiciones de su certificación, el operador puede representarse como “organic</w:t>
      </w:r>
      <w:r w:rsidR="00937264">
        <w:rPr>
          <w:rFonts w:eastAsia="Times New Roman"/>
        </w:rPr>
        <w:t>/</w:t>
      </w:r>
      <w:r w:rsidR="00C93A74">
        <w:rPr>
          <w:rFonts w:eastAsia="Times New Roman"/>
        </w:rPr>
        <w:t>orgánico</w:t>
      </w:r>
      <w:r w:rsidRPr="227E1361">
        <w:rPr>
          <w:rFonts w:eastAsia="Times New Roman"/>
        </w:rPr>
        <w:t xml:space="preserve">” o llevar la palabra orgánico o sus derivados. Uso no autorizado o engañoso del logotipo QCS, el logotipo del USDA, el Certificado Regenerativo Orgánico (El logotipo ROC), el logotipo de la Unión Europea y / o la marca de certificación canadiense están prohibidos y se tratan como una infracción de los derechos de autor, y están sujetos a las disposiciones de penalización del organismo de acreditación que rige en toda la extensión de las leyes civiles o penales relacionadas al fraude. Las referencias incorrectas al sistema de certificación o el uso engañoso de licencias, certificados o marcas que se encuentran en anuncios, catálogos o cualquier otro documento publicado se tratan mediante acciones adecuadas. Los clientes de QCS deben firmar y cumplir con el Contrato de Licencia de Marca orgánica de QCS tal y como se encuentra en sus Planes de Manejo Orgánico. A lo largo del proceso de certificación, QCS monitorea al operador y sus productos y el uso de marcas y nombres de certificación y comercialización de </w:t>
      </w:r>
      <w:proofErr w:type="gramStart"/>
      <w:r w:rsidRPr="227E1361">
        <w:rPr>
          <w:rFonts w:eastAsia="Times New Roman"/>
        </w:rPr>
        <w:t>los mismos</w:t>
      </w:r>
      <w:proofErr w:type="gramEnd"/>
      <w:r w:rsidRPr="227E1361">
        <w:rPr>
          <w:rFonts w:eastAsia="Times New Roman"/>
        </w:rPr>
        <w:t xml:space="preserve"> para detectar cualquier referencia inadecuada o uso fraudulento del nombre y certificados de QCS, y el uso de logotipos, marcas y nombres reglamentarios permitidos en cada uno de los programas mencionados anteriormente.</w:t>
      </w:r>
      <w:bookmarkStart w:id="44" w:name="_Toc424898861"/>
      <w:bookmarkStart w:id="45" w:name="_Toc424899252"/>
    </w:p>
    <w:p w14:paraId="25357F9B" w14:textId="189AB231" w:rsidR="00775063" w:rsidRDefault="002D2B1F" w:rsidP="00E52625">
      <w:pPr>
        <w:pStyle w:val="Heading3"/>
        <w:rPr>
          <w:b w:val="0"/>
        </w:rPr>
      </w:pPr>
      <w:r w:rsidRPr="227E1361">
        <w:t xml:space="preserve">Logotipo </w:t>
      </w:r>
      <w:r w:rsidR="00CF204E" w:rsidRPr="227E1361">
        <w:t>QCS</w:t>
      </w:r>
      <w:r w:rsidR="00CF204E" w:rsidRPr="008D360F">
        <w:rPr>
          <w:rFonts w:cs="Times New Roman"/>
          <w:vertAlign w:val="superscript"/>
        </w:rPr>
        <w:footnoteReference w:id="5"/>
      </w:r>
      <w:bookmarkEnd w:id="44"/>
      <w:bookmarkEnd w:id="45"/>
    </w:p>
    <w:tbl>
      <w:tblPr>
        <w:tblStyle w:val="TableGrid"/>
        <w:tblW w:w="10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1D2B0C" w14:paraId="290456EC" w14:textId="77777777" w:rsidTr="00DF39D8">
        <w:trPr>
          <w:trHeight w:val="1728"/>
          <w:jc w:val="center"/>
        </w:trPr>
        <w:tc>
          <w:tcPr>
            <w:tcW w:w="3396" w:type="dxa"/>
            <w:vAlign w:val="center"/>
          </w:tcPr>
          <w:p w14:paraId="006BC3EA" w14:textId="77777777" w:rsidR="001D2B0C" w:rsidRDefault="001D2B0C" w:rsidP="001D2B0C">
            <w:pPr>
              <w:spacing w:after="0"/>
              <w:jc w:val="center"/>
            </w:pPr>
            <w:r w:rsidRPr="00643DB9">
              <w:rPr>
                <w:rFonts w:eastAsia="Calibri"/>
                <w:noProof/>
                <w:sz w:val="20"/>
                <w:szCs w:val="20"/>
              </w:rPr>
              <w:drawing>
                <wp:anchor distT="0" distB="0" distL="114300" distR="114300" simplePos="0" relativeHeight="251656192" behindDoc="0" locked="0" layoutInCell="1" allowOverlap="1" wp14:anchorId="37000112" wp14:editId="1635DC32">
                  <wp:simplePos x="0" y="0"/>
                  <wp:positionH relativeFrom="column">
                    <wp:align>center</wp:align>
                  </wp:positionH>
                  <wp:positionV relativeFrom="paragraph">
                    <wp:posOffset>9525</wp:posOffset>
                  </wp:positionV>
                  <wp:extent cx="1069848" cy="914400"/>
                  <wp:effectExtent l="0" t="0" r="0" b="0"/>
                  <wp:wrapTopAndBottom/>
                  <wp:docPr id="70" name="Picture 70" descr="G:\2017\QCS\170510 QCS Cert Manual -new logos\QCS-Circular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QCS\170510 QCS Cert Manual -new logos\QCS-CircularMark-Colo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984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Logotipo circular </w:t>
            </w:r>
            <w:r w:rsidRPr="00643DB9">
              <w:rPr>
                <w:sz w:val="20"/>
                <w:szCs w:val="20"/>
              </w:rPr>
              <w:t>QCS, color</w:t>
            </w:r>
          </w:p>
        </w:tc>
        <w:tc>
          <w:tcPr>
            <w:tcW w:w="3396" w:type="dxa"/>
            <w:vAlign w:val="center"/>
          </w:tcPr>
          <w:p w14:paraId="4147A4ED" w14:textId="77777777" w:rsidR="001D2B0C" w:rsidRDefault="001D2B0C" w:rsidP="001D2B0C">
            <w:pPr>
              <w:spacing w:after="0"/>
              <w:jc w:val="center"/>
            </w:pPr>
            <w:r w:rsidRPr="00643DB9">
              <w:rPr>
                <w:rFonts w:eastAsia="Calibri"/>
                <w:noProof/>
                <w:sz w:val="20"/>
                <w:szCs w:val="20"/>
              </w:rPr>
              <w:drawing>
                <wp:inline distT="0" distB="0" distL="0" distR="0" wp14:anchorId="2B4D16AC" wp14:editId="476B9A47">
                  <wp:extent cx="2011680" cy="808432"/>
                  <wp:effectExtent l="0" t="0" r="7620" b="0"/>
                  <wp:docPr id="73" name="Picture 73" descr="G:\2017\QCS\170510 QCS Cert Manual -new logos\QCS-Simple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7\QCS\170510 QCS Cert Manual -new logos\QCS-SimpleLogomark-Colo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1680" cy="808432"/>
                          </a:xfrm>
                          <a:prstGeom prst="rect">
                            <a:avLst/>
                          </a:prstGeom>
                          <a:noFill/>
                          <a:ln>
                            <a:noFill/>
                          </a:ln>
                        </pic:spPr>
                      </pic:pic>
                    </a:graphicData>
                  </a:graphic>
                </wp:inline>
              </w:drawing>
            </w:r>
            <w:r>
              <w:rPr>
                <w:sz w:val="20"/>
                <w:szCs w:val="20"/>
              </w:rPr>
              <w:t xml:space="preserve">Logotipo simple </w:t>
            </w:r>
            <w:r w:rsidRPr="00643DB9">
              <w:rPr>
                <w:sz w:val="20"/>
                <w:szCs w:val="20"/>
              </w:rPr>
              <w:t>QCS, color</w:t>
            </w:r>
          </w:p>
        </w:tc>
        <w:tc>
          <w:tcPr>
            <w:tcW w:w="3396" w:type="dxa"/>
            <w:vAlign w:val="center"/>
          </w:tcPr>
          <w:p w14:paraId="748EE56C" w14:textId="77777777" w:rsidR="001D2B0C" w:rsidRDefault="001D2B0C" w:rsidP="001D2B0C">
            <w:pPr>
              <w:spacing w:after="0"/>
              <w:jc w:val="center"/>
            </w:pPr>
            <w:r w:rsidRPr="00643DB9">
              <w:rPr>
                <w:rFonts w:eastAsia="Calibri"/>
                <w:noProof/>
                <w:sz w:val="20"/>
                <w:szCs w:val="20"/>
              </w:rPr>
              <w:drawing>
                <wp:inline distT="0" distB="0" distL="0" distR="0" wp14:anchorId="060A6ED0" wp14:editId="5949CCF2">
                  <wp:extent cx="2011680" cy="808013"/>
                  <wp:effectExtent l="0" t="0" r="7620" b="0"/>
                  <wp:docPr id="611108660" name="Picture 61110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4453" name="Picture 98596445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11680" cy="808013"/>
                          </a:xfrm>
                          <a:prstGeom prst="rect">
                            <a:avLst/>
                          </a:prstGeom>
                          <a:noFill/>
                          <a:ln>
                            <a:noFill/>
                          </a:ln>
                        </pic:spPr>
                      </pic:pic>
                    </a:graphicData>
                  </a:graphic>
                </wp:inline>
              </w:drawing>
            </w:r>
            <w:r>
              <w:rPr>
                <w:sz w:val="20"/>
                <w:szCs w:val="20"/>
              </w:rPr>
              <w:t xml:space="preserve"> Logotipo simple QCS</w:t>
            </w:r>
            <w:r w:rsidRPr="00643DB9">
              <w:rPr>
                <w:sz w:val="20"/>
                <w:szCs w:val="20"/>
              </w:rPr>
              <w:t>, bla</w:t>
            </w:r>
            <w:r>
              <w:rPr>
                <w:sz w:val="20"/>
                <w:szCs w:val="20"/>
              </w:rPr>
              <w:t>nco</w:t>
            </w:r>
            <w:r w:rsidRPr="00643DB9">
              <w:rPr>
                <w:sz w:val="20"/>
                <w:szCs w:val="20"/>
              </w:rPr>
              <w:t xml:space="preserve"> </w:t>
            </w:r>
            <w:r>
              <w:rPr>
                <w:sz w:val="20"/>
                <w:szCs w:val="20"/>
              </w:rPr>
              <w:t>y negro</w:t>
            </w:r>
          </w:p>
        </w:tc>
      </w:tr>
      <w:tr w:rsidR="001D2B0C" w14:paraId="5BE94246" w14:textId="77777777" w:rsidTr="00DF39D8">
        <w:trPr>
          <w:trHeight w:val="1728"/>
          <w:jc w:val="center"/>
        </w:trPr>
        <w:tc>
          <w:tcPr>
            <w:tcW w:w="3396" w:type="dxa"/>
            <w:vAlign w:val="center"/>
          </w:tcPr>
          <w:p w14:paraId="26876AC9" w14:textId="77777777" w:rsidR="001D2B0C" w:rsidRDefault="001D2B0C" w:rsidP="001D2B0C">
            <w:pPr>
              <w:spacing w:after="0"/>
              <w:jc w:val="center"/>
            </w:pPr>
            <w:r w:rsidRPr="00643DB9">
              <w:rPr>
                <w:rFonts w:eastAsia="Calibri"/>
                <w:noProof/>
                <w:sz w:val="20"/>
                <w:szCs w:val="20"/>
              </w:rPr>
              <w:drawing>
                <wp:anchor distT="0" distB="0" distL="114300" distR="114300" simplePos="0" relativeHeight="251658240" behindDoc="0" locked="0" layoutInCell="1" allowOverlap="1" wp14:anchorId="7F484045" wp14:editId="11D68789">
                  <wp:simplePos x="0" y="0"/>
                  <wp:positionH relativeFrom="column">
                    <wp:align>center</wp:align>
                  </wp:positionH>
                  <wp:positionV relativeFrom="paragraph">
                    <wp:posOffset>3810</wp:posOffset>
                  </wp:positionV>
                  <wp:extent cx="1014984" cy="913528"/>
                  <wp:effectExtent l="0" t="0" r="0" b="1270"/>
                  <wp:wrapTopAndBottom/>
                  <wp:docPr id="1581962551" name="Picture 158196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20542" name="Picture 65292054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14984" cy="91352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Logotipo circular </w:t>
            </w:r>
            <w:r w:rsidRPr="00643DB9">
              <w:rPr>
                <w:sz w:val="20"/>
                <w:szCs w:val="20"/>
              </w:rPr>
              <w:t>QCS, bla</w:t>
            </w:r>
            <w:r>
              <w:rPr>
                <w:sz w:val="20"/>
                <w:szCs w:val="20"/>
              </w:rPr>
              <w:t>nco</w:t>
            </w:r>
            <w:r w:rsidRPr="00643DB9">
              <w:rPr>
                <w:sz w:val="20"/>
                <w:szCs w:val="20"/>
              </w:rPr>
              <w:t xml:space="preserve"> </w:t>
            </w:r>
            <w:r>
              <w:rPr>
                <w:sz w:val="20"/>
                <w:szCs w:val="20"/>
              </w:rPr>
              <w:t>y negro</w:t>
            </w:r>
          </w:p>
        </w:tc>
        <w:tc>
          <w:tcPr>
            <w:tcW w:w="3396" w:type="dxa"/>
            <w:vAlign w:val="center"/>
          </w:tcPr>
          <w:p w14:paraId="34186CB3" w14:textId="77777777" w:rsidR="001D2B0C" w:rsidRDefault="001D2B0C" w:rsidP="001D2B0C">
            <w:pPr>
              <w:spacing w:after="0"/>
              <w:jc w:val="center"/>
            </w:pPr>
            <w:r w:rsidRPr="00643DB9">
              <w:rPr>
                <w:noProof/>
                <w:sz w:val="20"/>
                <w:szCs w:val="20"/>
              </w:rPr>
              <w:drawing>
                <wp:inline distT="0" distB="0" distL="0" distR="0" wp14:anchorId="6E1A5EF8" wp14:editId="04BA45E3">
                  <wp:extent cx="2011680" cy="470906"/>
                  <wp:effectExtent l="0" t="0" r="7620" b="5715"/>
                  <wp:docPr id="75" name="Picture 75" descr="G:\2017\QCS\170510 QCS Cert Manual -new logos\QCS-Main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1680" cy="470906"/>
                          </a:xfrm>
                          <a:prstGeom prst="rect">
                            <a:avLst/>
                          </a:prstGeom>
                        </pic:spPr>
                      </pic:pic>
                    </a:graphicData>
                  </a:graphic>
                </wp:inline>
              </w:drawing>
            </w:r>
            <w:r>
              <w:rPr>
                <w:sz w:val="20"/>
                <w:szCs w:val="20"/>
              </w:rPr>
              <w:t xml:space="preserve"> </w:t>
            </w:r>
            <w:r w:rsidRPr="00055CB6">
              <w:rPr>
                <w:sz w:val="20"/>
                <w:szCs w:val="20"/>
              </w:rPr>
              <w:t>Logotipo principal QCS</w:t>
            </w:r>
            <w:r w:rsidRPr="00643DB9">
              <w:rPr>
                <w:sz w:val="20"/>
                <w:szCs w:val="20"/>
              </w:rPr>
              <w:t>, color</w:t>
            </w:r>
          </w:p>
        </w:tc>
        <w:tc>
          <w:tcPr>
            <w:tcW w:w="3396" w:type="dxa"/>
            <w:vAlign w:val="center"/>
          </w:tcPr>
          <w:p w14:paraId="280ED40A" w14:textId="77777777" w:rsidR="001D2B0C" w:rsidRDefault="001D2B0C" w:rsidP="001D2B0C">
            <w:pPr>
              <w:spacing w:after="0"/>
              <w:jc w:val="center"/>
            </w:pPr>
            <w:r w:rsidRPr="00643DB9">
              <w:rPr>
                <w:noProof/>
                <w:sz w:val="20"/>
                <w:szCs w:val="20"/>
              </w:rPr>
              <w:drawing>
                <wp:inline distT="0" distB="0" distL="0" distR="0" wp14:anchorId="7917B741" wp14:editId="1DDE35BF">
                  <wp:extent cx="2008275" cy="470906"/>
                  <wp:effectExtent l="0" t="0" r="0" b="5715"/>
                  <wp:docPr id="1028700951" name="Picture 10287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5162" name="Picture 192611516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08275" cy="470906"/>
                          </a:xfrm>
                          <a:prstGeom prst="rect">
                            <a:avLst/>
                          </a:prstGeom>
                        </pic:spPr>
                      </pic:pic>
                    </a:graphicData>
                  </a:graphic>
                </wp:inline>
              </w:drawing>
            </w:r>
            <w:r>
              <w:t xml:space="preserve"> </w:t>
            </w:r>
            <w:r w:rsidRPr="00055CB6">
              <w:rPr>
                <w:sz w:val="20"/>
                <w:szCs w:val="20"/>
              </w:rPr>
              <w:t>Logotipo principal QCS</w:t>
            </w:r>
            <w:r w:rsidRPr="00643DB9">
              <w:rPr>
                <w:sz w:val="20"/>
                <w:szCs w:val="20"/>
              </w:rPr>
              <w:t>, bla</w:t>
            </w:r>
            <w:r>
              <w:rPr>
                <w:sz w:val="20"/>
                <w:szCs w:val="20"/>
              </w:rPr>
              <w:t>nco</w:t>
            </w:r>
            <w:r w:rsidRPr="00643DB9">
              <w:rPr>
                <w:sz w:val="20"/>
                <w:szCs w:val="20"/>
              </w:rPr>
              <w:t xml:space="preserve"> </w:t>
            </w:r>
            <w:r>
              <w:rPr>
                <w:sz w:val="20"/>
                <w:szCs w:val="20"/>
              </w:rPr>
              <w:t>y negro</w:t>
            </w:r>
          </w:p>
        </w:tc>
      </w:tr>
      <w:tr w:rsidR="001D2B0C" w14:paraId="6D497AFC" w14:textId="77777777" w:rsidTr="00DF39D8">
        <w:trPr>
          <w:trHeight w:val="1728"/>
          <w:jc w:val="center"/>
        </w:trPr>
        <w:tc>
          <w:tcPr>
            <w:tcW w:w="3396" w:type="dxa"/>
            <w:vAlign w:val="center"/>
          </w:tcPr>
          <w:p w14:paraId="1EA04B94" w14:textId="77777777" w:rsidR="001D2B0C" w:rsidRPr="00643DB9" w:rsidRDefault="001D2B0C" w:rsidP="001D2B0C">
            <w:pPr>
              <w:spacing w:after="0"/>
              <w:jc w:val="center"/>
              <w:rPr>
                <w:rFonts w:eastAsia="Calibri"/>
                <w:noProof/>
                <w:sz w:val="20"/>
                <w:szCs w:val="20"/>
              </w:rPr>
            </w:pPr>
            <w:r w:rsidRPr="00643DB9">
              <w:rPr>
                <w:noProof/>
                <w:sz w:val="20"/>
                <w:szCs w:val="20"/>
              </w:rPr>
              <w:drawing>
                <wp:inline distT="0" distB="0" distL="0" distR="0" wp14:anchorId="70C0A10C" wp14:editId="69DDAC6A">
                  <wp:extent cx="2011680" cy="770387"/>
                  <wp:effectExtent l="0" t="0" r="7620" b="0"/>
                  <wp:docPr id="74" name="Picture 74" descr="G:\2017\QCS\170510 QCS Cert Manual -new logos\QCS-Secondary-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1680" cy="770387"/>
                          </a:xfrm>
                          <a:prstGeom prst="rect">
                            <a:avLst/>
                          </a:prstGeom>
                        </pic:spPr>
                      </pic:pic>
                    </a:graphicData>
                  </a:graphic>
                </wp:inline>
              </w:drawing>
            </w:r>
          </w:p>
          <w:p w14:paraId="06801F92" w14:textId="77777777" w:rsidR="001D2B0C" w:rsidRPr="007C02EB" w:rsidRDefault="001D2B0C" w:rsidP="001D2B0C">
            <w:pPr>
              <w:spacing w:after="0"/>
              <w:jc w:val="center"/>
              <w:rPr>
                <w:rFonts w:eastAsia="Calibri"/>
                <w:noProof/>
              </w:rPr>
            </w:pPr>
            <w:r w:rsidRPr="002A5B6B">
              <w:rPr>
                <w:rFonts w:eastAsia="Calibri"/>
                <w:noProof/>
                <w:sz w:val="20"/>
                <w:szCs w:val="20"/>
              </w:rPr>
              <w:t xml:space="preserve">Logotipo secundaria </w:t>
            </w:r>
            <w:r>
              <w:rPr>
                <w:rFonts w:eastAsia="Calibri"/>
                <w:noProof/>
                <w:sz w:val="20"/>
                <w:szCs w:val="20"/>
              </w:rPr>
              <w:t xml:space="preserve">de </w:t>
            </w:r>
            <w:r w:rsidRPr="002A5B6B">
              <w:rPr>
                <w:rFonts w:eastAsia="Calibri"/>
                <w:noProof/>
                <w:sz w:val="20"/>
                <w:szCs w:val="20"/>
              </w:rPr>
              <w:t>acuaponía QCS</w:t>
            </w:r>
            <w:r w:rsidRPr="00643DB9">
              <w:rPr>
                <w:rFonts w:eastAsia="Calibri"/>
                <w:noProof/>
                <w:sz w:val="20"/>
                <w:szCs w:val="20"/>
              </w:rPr>
              <w:t>, color</w:t>
            </w:r>
          </w:p>
        </w:tc>
        <w:tc>
          <w:tcPr>
            <w:tcW w:w="3396" w:type="dxa"/>
            <w:vAlign w:val="center"/>
          </w:tcPr>
          <w:p w14:paraId="7C47DD5B" w14:textId="77777777" w:rsidR="001D2B0C" w:rsidRPr="002F09BE" w:rsidRDefault="001D2B0C" w:rsidP="001D2B0C">
            <w:pPr>
              <w:spacing w:after="0"/>
              <w:jc w:val="center"/>
              <w:rPr>
                <w:rFonts w:eastAsia="Calibri"/>
                <w:noProof/>
              </w:rPr>
            </w:pPr>
            <w:r w:rsidRPr="00643DB9">
              <w:rPr>
                <w:noProof/>
                <w:sz w:val="20"/>
                <w:szCs w:val="20"/>
              </w:rPr>
              <w:drawing>
                <wp:inline distT="0" distB="0" distL="0" distR="0" wp14:anchorId="7D7E9B4C" wp14:editId="7D18AA57">
                  <wp:extent cx="2010135" cy="770387"/>
                  <wp:effectExtent l="0" t="0" r="9525" b="0"/>
                  <wp:docPr id="1276473866" name="Picture 127647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53687" name="Picture 117055368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0135" cy="770387"/>
                          </a:xfrm>
                          <a:prstGeom prst="rect">
                            <a:avLst/>
                          </a:prstGeom>
                        </pic:spPr>
                      </pic:pic>
                    </a:graphicData>
                  </a:graphic>
                </wp:inline>
              </w:drawing>
            </w:r>
            <w:r w:rsidRPr="002A5B6B">
              <w:rPr>
                <w:rFonts w:eastAsia="Calibri"/>
                <w:noProof/>
                <w:sz w:val="20"/>
                <w:szCs w:val="20"/>
              </w:rPr>
              <w:t xml:space="preserve"> Logotipo secundaria </w:t>
            </w:r>
            <w:r>
              <w:rPr>
                <w:rFonts w:eastAsia="Calibri"/>
                <w:noProof/>
                <w:sz w:val="20"/>
                <w:szCs w:val="20"/>
              </w:rPr>
              <w:t xml:space="preserve">de </w:t>
            </w:r>
            <w:r w:rsidRPr="002A5B6B">
              <w:rPr>
                <w:rFonts w:eastAsia="Calibri"/>
                <w:noProof/>
                <w:sz w:val="20"/>
                <w:szCs w:val="20"/>
              </w:rPr>
              <w:t>acuaponía QCS</w:t>
            </w:r>
            <w:r w:rsidRPr="00643DB9">
              <w:rPr>
                <w:rFonts w:eastAsia="Calibri"/>
                <w:noProof/>
                <w:sz w:val="20"/>
                <w:szCs w:val="20"/>
              </w:rPr>
              <w:t xml:space="preserve">, </w:t>
            </w:r>
            <w:r w:rsidRPr="00643DB9">
              <w:rPr>
                <w:sz w:val="20"/>
                <w:szCs w:val="20"/>
              </w:rPr>
              <w:t>bla</w:t>
            </w:r>
            <w:r>
              <w:rPr>
                <w:sz w:val="20"/>
                <w:szCs w:val="20"/>
              </w:rPr>
              <w:t>nco</w:t>
            </w:r>
            <w:r w:rsidRPr="00643DB9">
              <w:rPr>
                <w:sz w:val="20"/>
                <w:szCs w:val="20"/>
              </w:rPr>
              <w:t xml:space="preserve"> </w:t>
            </w:r>
            <w:r>
              <w:rPr>
                <w:sz w:val="20"/>
                <w:szCs w:val="20"/>
              </w:rPr>
              <w:t>y negro</w:t>
            </w:r>
          </w:p>
        </w:tc>
        <w:tc>
          <w:tcPr>
            <w:tcW w:w="3396" w:type="dxa"/>
            <w:shd w:val="clear" w:color="auto" w:fill="767171" w:themeFill="background2" w:themeFillShade="80"/>
            <w:vAlign w:val="center"/>
          </w:tcPr>
          <w:p w14:paraId="6C03EA89" w14:textId="77777777" w:rsidR="001D2B0C" w:rsidRDefault="001D2B0C" w:rsidP="001D2B0C">
            <w:pPr>
              <w:spacing w:after="0"/>
              <w:jc w:val="center"/>
            </w:pPr>
            <w:r w:rsidRPr="007B5CC7">
              <w:rPr>
                <w:rFonts w:eastAsia="Calibri"/>
                <w:noProof/>
                <w:color w:val="FFFFFF" w:themeColor="background1"/>
                <w:sz w:val="20"/>
                <w:szCs w:val="20"/>
              </w:rPr>
              <w:drawing>
                <wp:inline distT="0" distB="0" distL="0" distR="0" wp14:anchorId="364BD600" wp14:editId="165D845C">
                  <wp:extent cx="2011680" cy="931477"/>
                  <wp:effectExtent l="0" t="0" r="0" b="0"/>
                  <wp:docPr id="199705431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6138" name="Picture 1" descr="A black and white 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11680" cy="931477"/>
                          </a:xfrm>
                          <a:prstGeom prst="rect">
                            <a:avLst/>
                          </a:prstGeom>
                        </pic:spPr>
                      </pic:pic>
                    </a:graphicData>
                  </a:graphic>
                </wp:inline>
              </w:drawing>
            </w:r>
            <w:r>
              <w:t xml:space="preserve"> </w:t>
            </w:r>
            <w:r w:rsidRPr="00055CB6">
              <w:rPr>
                <w:color w:val="FFFFFF" w:themeColor="background1"/>
                <w:sz w:val="20"/>
                <w:szCs w:val="20"/>
              </w:rPr>
              <w:t>Logotipo principal QCS</w:t>
            </w:r>
            <w:r w:rsidRPr="007B5CC7">
              <w:rPr>
                <w:color w:val="FFFFFF" w:themeColor="background1"/>
                <w:sz w:val="20"/>
                <w:szCs w:val="20"/>
              </w:rPr>
              <w:t xml:space="preserve">, </w:t>
            </w:r>
            <w:r>
              <w:rPr>
                <w:color w:val="FFFFFF" w:themeColor="background1"/>
                <w:sz w:val="20"/>
                <w:szCs w:val="20"/>
              </w:rPr>
              <w:t>blanco</w:t>
            </w:r>
            <w:r w:rsidRPr="007B5CC7">
              <w:rPr>
                <w:color w:val="FFFFFF" w:themeColor="background1"/>
                <w:sz w:val="20"/>
                <w:szCs w:val="20"/>
              </w:rPr>
              <w:t xml:space="preserve"> </w:t>
            </w:r>
            <w:r w:rsidRPr="007B5CC7">
              <w:rPr>
                <w:color w:val="FFFFFF" w:themeColor="background1"/>
                <w:sz w:val="20"/>
                <w:szCs w:val="20"/>
              </w:rPr>
              <w:br/>
              <w:t>(</w:t>
            </w:r>
            <w:r>
              <w:rPr>
                <w:color w:val="FFFFFF" w:themeColor="background1"/>
                <w:sz w:val="20"/>
                <w:szCs w:val="20"/>
              </w:rPr>
              <w:t>con fondo contrastante</w:t>
            </w:r>
            <w:r w:rsidRPr="007B5CC7">
              <w:rPr>
                <w:color w:val="FFFFFF" w:themeColor="background1"/>
                <w:sz w:val="20"/>
                <w:szCs w:val="20"/>
              </w:rPr>
              <w:t xml:space="preserve">) </w:t>
            </w:r>
          </w:p>
        </w:tc>
      </w:tr>
    </w:tbl>
    <w:p w14:paraId="5972ABBE" w14:textId="33A4786C" w:rsidR="00BD02BC" w:rsidRPr="00BD02BC" w:rsidRDefault="227E1361" w:rsidP="00337BBD">
      <w:pPr>
        <w:rPr>
          <w:rFonts w:eastAsia="Calibri"/>
          <w:lang w:val="es-ES"/>
        </w:rPr>
      </w:pPr>
      <w:r w:rsidRPr="227E1361">
        <w:rPr>
          <w:rFonts w:eastAsia="Calibri"/>
        </w:rPr>
        <w:t>Todos los productos orgánicos certificados por QCS, tanto en los programas NOP como internacionales, pueden identificarse mediante uno de los logotipos oficiales de QCS. Las entidades certificadas reciben certificados numerados de certificación con el logotipo oficial de QCS. Los logotipos pueden aparecer:</w:t>
      </w:r>
    </w:p>
    <w:p w14:paraId="1F3388F1" w14:textId="0200D8A0" w:rsidR="00BD02BC" w:rsidRPr="00BD02BC" w:rsidRDefault="227E1361" w:rsidP="00337BBD">
      <w:pPr>
        <w:spacing w:line="240" w:lineRule="auto"/>
        <w:ind w:left="720" w:hanging="360"/>
        <w:rPr>
          <w:rFonts w:eastAsia="Calibri"/>
        </w:rPr>
      </w:pPr>
      <w:r w:rsidRPr="227E1361">
        <w:rPr>
          <w:rFonts w:eastAsia="Calibri"/>
        </w:rPr>
        <w:lastRenderedPageBreak/>
        <w:t>a)</w:t>
      </w:r>
      <w:r w:rsidR="00BD02BC">
        <w:tab/>
      </w:r>
      <w:r w:rsidRPr="227E1361">
        <w:rPr>
          <w:rFonts w:eastAsia="Calibri"/>
        </w:rPr>
        <w:t>Donde sea práctico, en el producto individual (como con sandías y melones).</w:t>
      </w:r>
    </w:p>
    <w:p w14:paraId="17195521" w14:textId="1DE306D7" w:rsidR="00BD02BC" w:rsidRPr="00BD02BC" w:rsidRDefault="227E1361" w:rsidP="00337BBD">
      <w:pPr>
        <w:ind w:left="720" w:hanging="360"/>
        <w:rPr>
          <w:rFonts w:eastAsia="Calibri"/>
          <w:lang w:val="es-ES"/>
        </w:rPr>
      </w:pPr>
      <w:r w:rsidRPr="227E1361">
        <w:rPr>
          <w:rFonts w:eastAsia="Calibri"/>
        </w:rPr>
        <w:t>b)</w:t>
      </w:r>
      <w:r w:rsidR="00BD02BC">
        <w:tab/>
      </w:r>
      <w:r w:rsidRPr="227E1361">
        <w:rPr>
          <w:rFonts w:eastAsia="Calibri"/>
        </w:rPr>
        <w:t>En la unidad de empaquetado comercializado individualmente (como en contenedores de arándanos, contenedores de fresas, productos en bolsas, cartones de jugo y frascos).</w:t>
      </w:r>
    </w:p>
    <w:p w14:paraId="1B336C07" w14:textId="298A3562" w:rsidR="00CF204E" w:rsidRPr="00BD02BC" w:rsidRDefault="227E1361" w:rsidP="00337BBD">
      <w:pPr>
        <w:ind w:left="720" w:hanging="360"/>
        <w:rPr>
          <w:rFonts w:eastAsia="Calibri"/>
        </w:rPr>
      </w:pPr>
      <w:r w:rsidRPr="227E1361">
        <w:rPr>
          <w:rFonts w:eastAsia="Calibri"/>
        </w:rPr>
        <w:t>c)</w:t>
      </w:r>
      <w:r w:rsidR="00BD02BC">
        <w:tab/>
      </w:r>
      <w:r w:rsidRPr="227E1361">
        <w:rPr>
          <w:rFonts w:eastAsia="Calibri"/>
        </w:rPr>
        <w:t>Donde se vendan al por mayor, el panel publicitario puede incluir el logotipo QCS.</w:t>
      </w:r>
    </w:p>
    <w:p w14:paraId="395BCB30" w14:textId="3825BA7C" w:rsidR="004A23B1" w:rsidRPr="004A23B1" w:rsidRDefault="227E1361" w:rsidP="00FE4B50">
      <w:pPr>
        <w:pStyle w:val="Heading2"/>
        <w:rPr>
          <w:lang w:val="es-ES"/>
        </w:rPr>
      </w:pPr>
      <w:r w:rsidRPr="227E1361">
        <w:t>Uso del Logotipo por Parte de Terceros</w:t>
      </w:r>
    </w:p>
    <w:p w14:paraId="64ADC842" w14:textId="51E89A20" w:rsidR="00CF204E" w:rsidRPr="006D448B" w:rsidRDefault="227E1361" w:rsidP="00337BBD">
      <w:pPr>
        <w:rPr>
          <w:rFonts w:eastAsia="Times New Roman"/>
          <w:lang w:val="es-ES"/>
        </w:rPr>
      </w:pPr>
      <w:r w:rsidRPr="227E1361">
        <w:rPr>
          <w:rFonts w:eastAsia="Times New Roman"/>
        </w:rPr>
        <w:t>Aunque solo una entidad certificada tiene el derecho de usar el logotipo o nombre, ese permiso se extiende a carteles y anuncios utilizados para promocionar productos certificados QCS para la venta por terceros. La parte certificada debe asegurarse de que se cumplan las siguientes condiciones:</w:t>
      </w:r>
    </w:p>
    <w:p w14:paraId="01D85899" w14:textId="105FF63A" w:rsidR="006D448B" w:rsidRPr="006D448B" w:rsidRDefault="227E1361" w:rsidP="00337BBD">
      <w:pPr>
        <w:ind w:left="720" w:hanging="360"/>
        <w:rPr>
          <w:rFonts w:eastAsia="Calibri"/>
          <w:lang w:val="es-ES"/>
        </w:rPr>
      </w:pPr>
      <w:r w:rsidRPr="227E1361">
        <w:rPr>
          <w:rFonts w:eastAsia="Calibri"/>
        </w:rPr>
        <w:t>a)</w:t>
      </w:r>
      <w:r w:rsidR="006D448B">
        <w:tab/>
      </w:r>
      <w:r w:rsidRPr="227E1361">
        <w:rPr>
          <w:rFonts w:eastAsia="Calibri"/>
        </w:rPr>
        <w:t>Cualquier letrero que muestre el logotipo o el nombre debe hacer referencia específica al artículo o grupo de artículos que están certificados por QCS.</w:t>
      </w:r>
    </w:p>
    <w:p w14:paraId="20625784" w14:textId="77777777" w:rsidR="007013AC" w:rsidRDefault="227E1361" w:rsidP="00FE4B50">
      <w:pPr>
        <w:ind w:left="720" w:hanging="360"/>
        <w:rPr>
          <w:lang w:val="es"/>
        </w:rPr>
      </w:pPr>
      <w:r w:rsidRPr="227E1361">
        <w:rPr>
          <w:rFonts w:eastAsia="Calibri"/>
        </w:rPr>
        <w:t>b)</w:t>
      </w:r>
      <w:r w:rsidR="006D448B">
        <w:tab/>
      </w:r>
      <w:r w:rsidRPr="227E1361">
        <w:rPr>
          <w:rFonts w:eastAsia="Calibri"/>
        </w:rPr>
        <w:t xml:space="preserve">Cualquier anuncio publicitario utilizado por un tercero solo puede usar el logotipo o el nombre de tal manera que se refiera claramente a los artículos que están certificados por QCS y solo a </w:t>
      </w:r>
      <w:r w:rsidRPr="00FE7F19">
        <w:t>esos artículos</w:t>
      </w:r>
      <w:r w:rsidRPr="00FE7F19">
        <w:rPr>
          <w:lang w:val="es"/>
        </w:rPr>
        <w:t xml:space="preserve">. </w:t>
      </w:r>
    </w:p>
    <w:p w14:paraId="65DB4DFD" w14:textId="438D577E" w:rsidR="000974DB" w:rsidRDefault="227E1361" w:rsidP="007013AC">
      <w:r w:rsidRPr="00FE7F19">
        <w:rPr>
          <w:lang w:val="es"/>
        </w:rPr>
        <w:t xml:space="preserve">Las entidades certificadas por QCS pueden optar por usar el logotipo de Florida Certified Organic Growers and Consumers, Inc. </w:t>
      </w:r>
      <w:r w:rsidRPr="00FE7F19">
        <w:t xml:space="preserve">(FOG). </w:t>
      </w:r>
      <w:bookmarkStart w:id="46" w:name="_Toc424898862"/>
      <w:bookmarkStart w:id="47" w:name="_Toc424899253"/>
    </w:p>
    <w:p w14:paraId="294BD806" w14:textId="24673008" w:rsidR="00CF204E" w:rsidRPr="00BD6812" w:rsidRDefault="00AD22BE" w:rsidP="00FE4B50">
      <w:pPr>
        <w:pStyle w:val="Heading3"/>
        <w:rPr>
          <w:rFonts w:eastAsia="Times New Roman"/>
          <w:b w:val="0"/>
          <w:lang w:val="es-ES"/>
        </w:rPr>
      </w:pPr>
      <w:bookmarkStart w:id="48" w:name="_Toc500935038"/>
      <w:r w:rsidRPr="227E1361">
        <w:rPr>
          <w:lang w:val="es-ES"/>
        </w:rPr>
        <w:t xml:space="preserve">Logotipo de </w:t>
      </w:r>
      <w:r w:rsidR="00CF204E" w:rsidRPr="227E1361">
        <w:rPr>
          <w:lang w:val="es-ES"/>
        </w:rPr>
        <w:t>USDA</w:t>
      </w:r>
      <w:bookmarkEnd w:id="48"/>
      <w:r w:rsidR="00CF204E" w:rsidRPr="227E1361">
        <w:rPr>
          <w:rFonts w:eastAsia="Times New Roman" w:cs="Times New Roman"/>
          <w:vertAlign w:val="superscript"/>
        </w:rPr>
        <w:footnoteReference w:id="6"/>
      </w:r>
      <w:bookmarkEnd w:id="46"/>
      <w:bookmarkEnd w:id="47"/>
      <w:r w:rsidR="00CF204E" w:rsidRPr="227E1361">
        <w:rPr>
          <w:rFonts w:eastAsia="Times New Roman"/>
          <w:lang w:val="es-ES"/>
        </w:rPr>
        <w:t xml:space="preserve"> </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gridCol w:w="2520"/>
      </w:tblGrid>
      <w:tr w:rsidR="00AE2A00" w:rsidRPr="00F523EF" w14:paraId="2813D24E" w14:textId="77777777" w:rsidTr="00E25B52">
        <w:trPr>
          <w:trHeight w:val="2448"/>
          <w:jc w:val="center"/>
        </w:trPr>
        <w:tc>
          <w:tcPr>
            <w:tcW w:w="2315" w:type="dxa"/>
            <w:vAlign w:val="center"/>
          </w:tcPr>
          <w:p w14:paraId="3285D16B" w14:textId="77777777" w:rsidR="00AE2A00" w:rsidRPr="00F523EF" w:rsidRDefault="00AE2A00" w:rsidP="00041604">
            <w:pPr>
              <w:jc w:val="center"/>
              <w:rPr>
                <w:rFonts w:eastAsia="Times New Roman"/>
                <w:sz w:val="20"/>
                <w:szCs w:val="20"/>
              </w:rPr>
            </w:pPr>
            <w:r w:rsidRPr="00F523EF">
              <w:rPr>
                <w:noProof/>
                <w:sz w:val="20"/>
                <w:szCs w:val="20"/>
              </w:rPr>
              <w:drawing>
                <wp:inline distT="0" distB="0" distL="0" distR="0" wp14:anchorId="1B77B6F5" wp14:editId="790C59CB">
                  <wp:extent cx="1143000" cy="1143000"/>
                  <wp:effectExtent l="0" t="0" r="0" b="0"/>
                  <wp:docPr id="4" name="Picture 4" descr="A green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and white circle with white 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2BFBEED" w14:textId="4EB0AFD4" w:rsidR="00AE2A00" w:rsidRPr="00F523EF" w:rsidRDefault="002F49EF" w:rsidP="00041604">
            <w:pPr>
              <w:jc w:val="center"/>
              <w:rPr>
                <w:rFonts w:eastAsia="Times New Roman"/>
                <w:sz w:val="20"/>
                <w:szCs w:val="20"/>
              </w:rPr>
            </w:pPr>
            <w:r w:rsidRPr="002F49EF">
              <w:rPr>
                <w:rFonts w:eastAsia="Times New Roman"/>
                <w:sz w:val="20"/>
                <w:szCs w:val="20"/>
              </w:rPr>
              <w:t xml:space="preserve">Sello USDA </w:t>
            </w:r>
            <w:r>
              <w:rPr>
                <w:rFonts w:eastAsia="Times New Roman"/>
                <w:sz w:val="20"/>
                <w:szCs w:val="20"/>
              </w:rPr>
              <w:t>de cuatro colores</w:t>
            </w:r>
            <w:r w:rsidRPr="002F49EF">
              <w:rPr>
                <w:rFonts w:eastAsia="Times New Roman"/>
                <w:sz w:val="20"/>
                <w:szCs w:val="20"/>
              </w:rPr>
              <w:t>, sin símbolo</w:t>
            </w:r>
          </w:p>
        </w:tc>
        <w:tc>
          <w:tcPr>
            <w:tcW w:w="2315" w:type="dxa"/>
            <w:vAlign w:val="center"/>
          </w:tcPr>
          <w:p w14:paraId="210C67C3" w14:textId="77777777" w:rsidR="00AE2A00" w:rsidRPr="00F523EF" w:rsidRDefault="00AE2A00" w:rsidP="00041604">
            <w:pPr>
              <w:jc w:val="center"/>
              <w:rPr>
                <w:rFonts w:eastAsia="Times New Roman"/>
                <w:sz w:val="20"/>
                <w:szCs w:val="20"/>
              </w:rPr>
            </w:pPr>
            <w:r w:rsidRPr="00F523EF">
              <w:rPr>
                <w:noProof/>
                <w:sz w:val="20"/>
                <w:szCs w:val="20"/>
              </w:rPr>
              <w:drawing>
                <wp:inline distT="0" distB="0" distL="0" distR="0" wp14:anchorId="0DDD0BDA" wp14:editId="73ED4D69">
                  <wp:extent cx="1143000" cy="1143000"/>
                  <wp:effectExtent l="0" t="0" r="0" b="0"/>
                  <wp:docPr id="25" name="Picture 2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and white logo&#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3F55943" w14:textId="6A2951AB" w:rsidR="00AE2A00" w:rsidRPr="00F523EF" w:rsidRDefault="002F49EF" w:rsidP="00041604">
            <w:pPr>
              <w:jc w:val="center"/>
              <w:rPr>
                <w:rFonts w:eastAsia="Times New Roman"/>
                <w:sz w:val="20"/>
                <w:szCs w:val="20"/>
              </w:rPr>
            </w:pPr>
            <w:r w:rsidRPr="002F49EF">
              <w:rPr>
                <w:rFonts w:eastAsia="Times New Roman"/>
                <w:sz w:val="20"/>
                <w:szCs w:val="20"/>
              </w:rPr>
              <w:t xml:space="preserve">Sello USDA </w:t>
            </w:r>
            <w:r>
              <w:rPr>
                <w:rFonts w:eastAsia="Times New Roman"/>
                <w:sz w:val="20"/>
                <w:szCs w:val="20"/>
              </w:rPr>
              <w:t>de cuatro colores, con símbolo</w:t>
            </w:r>
          </w:p>
        </w:tc>
        <w:tc>
          <w:tcPr>
            <w:tcW w:w="2315" w:type="dxa"/>
            <w:vAlign w:val="center"/>
          </w:tcPr>
          <w:p w14:paraId="266E4CBD" w14:textId="77777777" w:rsidR="00AE2A00" w:rsidRPr="00F523EF" w:rsidRDefault="00AE2A00" w:rsidP="00041604">
            <w:pPr>
              <w:jc w:val="center"/>
              <w:rPr>
                <w:rFonts w:eastAsia="Times New Roman"/>
                <w:sz w:val="20"/>
                <w:szCs w:val="20"/>
              </w:rPr>
            </w:pPr>
            <w:r w:rsidRPr="00F523EF">
              <w:rPr>
                <w:noProof/>
                <w:sz w:val="20"/>
                <w:szCs w:val="20"/>
              </w:rPr>
              <w:drawing>
                <wp:inline distT="0" distB="0" distL="0" distR="0" wp14:anchorId="7E9E8886" wp14:editId="4F7217CF">
                  <wp:extent cx="1143000" cy="1143000"/>
                  <wp:effectExtent l="0" t="0" r="0" b="0"/>
                  <wp:docPr id="32" name="Picture 32" descr="A black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and white circle with white 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082A9A0" w14:textId="41CEF34F" w:rsidR="00AE2A00" w:rsidRPr="00F523EF" w:rsidRDefault="002F49EF" w:rsidP="00041604">
            <w:pPr>
              <w:jc w:val="center"/>
              <w:rPr>
                <w:rFonts w:eastAsia="Times New Roman"/>
                <w:sz w:val="20"/>
                <w:szCs w:val="20"/>
              </w:rPr>
            </w:pPr>
            <w:r w:rsidRPr="002F49EF">
              <w:rPr>
                <w:rFonts w:eastAsia="Times New Roman"/>
                <w:sz w:val="20"/>
                <w:szCs w:val="20"/>
              </w:rPr>
              <w:t xml:space="preserve">Sello USDA </w:t>
            </w:r>
            <w:r>
              <w:rPr>
                <w:rFonts w:eastAsia="Times New Roman"/>
                <w:sz w:val="20"/>
                <w:szCs w:val="20"/>
              </w:rPr>
              <w:t>de blanco y negro</w:t>
            </w:r>
            <w:r w:rsidR="00041604">
              <w:rPr>
                <w:rFonts w:eastAsia="Times New Roman"/>
                <w:sz w:val="20"/>
                <w:szCs w:val="20"/>
              </w:rPr>
              <w:t>, sin símbolo</w:t>
            </w:r>
          </w:p>
        </w:tc>
        <w:tc>
          <w:tcPr>
            <w:tcW w:w="2315" w:type="dxa"/>
            <w:vAlign w:val="center"/>
          </w:tcPr>
          <w:p w14:paraId="5FB25D74" w14:textId="77777777" w:rsidR="00AE2A00" w:rsidRPr="00F523EF" w:rsidRDefault="00AE2A00" w:rsidP="00041604">
            <w:pPr>
              <w:jc w:val="center"/>
              <w:rPr>
                <w:rFonts w:eastAsia="Times New Roman"/>
                <w:sz w:val="20"/>
                <w:szCs w:val="20"/>
              </w:rPr>
            </w:pPr>
            <w:r w:rsidRPr="00F523EF">
              <w:rPr>
                <w:rFonts w:eastAsia="Times New Roman"/>
                <w:noProof/>
                <w:sz w:val="20"/>
                <w:szCs w:val="20"/>
              </w:rPr>
              <w:drawing>
                <wp:inline distT="0" distB="0" distL="0" distR="0" wp14:anchorId="4CB27459" wp14:editId="752651D8">
                  <wp:extent cx="1143000" cy="1143000"/>
                  <wp:effectExtent l="0" t="0" r="0" b="0"/>
                  <wp:docPr id="35" name="Picture 35" descr="A black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white circle with white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8B80E92" w14:textId="03C99B93" w:rsidR="00AE2A00" w:rsidRPr="00F523EF" w:rsidRDefault="00041604" w:rsidP="00041604">
            <w:pPr>
              <w:jc w:val="center"/>
              <w:rPr>
                <w:rFonts w:eastAsia="Times New Roman"/>
                <w:sz w:val="20"/>
                <w:szCs w:val="20"/>
              </w:rPr>
            </w:pPr>
            <w:r w:rsidRPr="002F49EF">
              <w:rPr>
                <w:rFonts w:eastAsia="Times New Roman"/>
                <w:sz w:val="20"/>
                <w:szCs w:val="20"/>
              </w:rPr>
              <w:t xml:space="preserve">Sello USDA </w:t>
            </w:r>
            <w:r>
              <w:rPr>
                <w:rFonts w:eastAsia="Times New Roman"/>
                <w:sz w:val="20"/>
                <w:szCs w:val="20"/>
              </w:rPr>
              <w:t>de blanco y negro, con símbolo</w:t>
            </w:r>
          </w:p>
        </w:tc>
      </w:tr>
    </w:tbl>
    <w:p w14:paraId="5DAB3459" w14:textId="2B4268D5" w:rsidR="00CF204E" w:rsidRPr="00042B64" w:rsidRDefault="00BD6812" w:rsidP="00337BBD">
      <w:pPr>
        <w:rPr>
          <w:rFonts w:eastAsia="Times New Roman"/>
        </w:rPr>
      </w:pPr>
      <w:r w:rsidRPr="00BD6812">
        <w:rPr>
          <w:rFonts w:eastAsia="Times New Roman"/>
          <w:lang w:val="es-ES"/>
        </w:rPr>
        <w:t xml:space="preserve">Para las disposiciones de etiquetado y composición del producto, los clientes de QCS deben cumplir con </w:t>
      </w:r>
      <w:r>
        <w:rPr>
          <w:rFonts w:eastAsia="Times New Roman"/>
          <w:lang w:val="es-ES"/>
        </w:rPr>
        <w:t xml:space="preserve">la </w:t>
      </w:r>
      <w:r w:rsidRPr="00BD6812">
        <w:rPr>
          <w:rFonts w:eastAsia="Times New Roman"/>
          <w:lang w:val="es-ES"/>
        </w:rPr>
        <w:t xml:space="preserve">Norma Final del </w:t>
      </w:r>
      <w:r w:rsidR="00F21B05">
        <w:rPr>
          <w:rFonts w:eastAsia="Times New Roman"/>
          <w:lang w:val="es-ES"/>
        </w:rPr>
        <w:t xml:space="preserve">USDA National Organic Program </w:t>
      </w:r>
      <w:r w:rsidR="00F7498B" w:rsidRPr="00BD6812">
        <w:rPr>
          <w:rFonts w:eastAsia="Times New Roman"/>
          <w:lang w:val="es-ES"/>
        </w:rPr>
        <w:t>del Registro Federal de</w:t>
      </w:r>
      <w:r w:rsidR="00F7498B">
        <w:rPr>
          <w:rFonts w:eastAsia="Times New Roman"/>
          <w:lang w:val="es-ES"/>
        </w:rPr>
        <w:t>l</w:t>
      </w:r>
      <w:r w:rsidR="00F7498B" w:rsidRPr="00BD6812">
        <w:rPr>
          <w:rFonts w:eastAsia="Times New Roman"/>
          <w:lang w:val="es-ES"/>
        </w:rPr>
        <w:t xml:space="preserve"> USDA</w:t>
      </w:r>
      <w:r w:rsidR="00F7498B">
        <w:rPr>
          <w:rFonts w:eastAsia="Times New Roman"/>
          <w:lang w:val="es-ES"/>
        </w:rPr>
        <w:t>-</w:t>
      </w:r>
      <w:r w:rsidR="00F7498B" w:rsidRPr="00BD6812">
        <w:rPr>
          <w:rFonts w:eastAsia="Times New Roman"/>
          <w:lang w:val="es-ES"/>
        </w:rPr>
        <w:t>AMS (7 CFR Parte 205)</w:t>
      </w:r>
      <w:r>
        <w:rPr>
          <w:rFonts w:eastAsia="Times New Roman"/>
          <w:lang w:val="es-ES"/>
        </w:rPr>
        <w:t xml:space="preserve">, </w:t>
      </w:r>
      <w:r w:rsidR="00F7498B">
        <w:rPr>
          <w:rFonts w:eastAsia="Times New Roman"/>
          <w:lang w:val="es-ES"/>
        </w:rPr>
        <w:t>S</w:t>
      </w:r>
      <w:r w:rsidRPr="00BD6812">
        <w:rPr>
          <w:rFonts w:eastAsia="Times New Roman"/>
          <w:lang w:val="es-ES"/>
        </w:rPr>
        <w:t>ubparte D</w:t>
      </w:r>
      <w:r w:rsidR="00F7498B">
        <w:rPr>
          <w:rFonts w:eastAsia="Times New Roman"/>
          <w:lang w:val="es-ES"/>
        </w:rPr>
        <w:t>:</w:t>
      </w:r>
      <w:r>
        <w:rPr>
          <w:rFonts w:eastAsia="Times New Roman"/>
          <w:lang w:val="es-ES"/>
        </w:rPr>
        <w:t xml:space="preserve"> Etiquetas, E</w:t>
      </w:r>
      <w:r w:rsidRPr="00BD6812">
        <w:rPr>
          <w:rFonts w:eastAsia="Times New Roman"/>
          <w:lang w:val="es-ES"/>
        </w:rPr>
        <w:t xml:space="preserve">tiquetado </w:t>
      </w:r>
      <w:r w:rsidR="00F7498B">
        <w:rPr>
          <w:rFonts w:eastAsia="Times New Roman"/>
          <w:lang w:val="es-ES"/>
        </w:rPr>
        <w:t>e Información de</w:t>
      </w:r>
      <w:r>
        <w:rPr>
          <w:rFonts w:eastAsia="Times New Roman"/>
          <w:lang w:val="es-ES"/>
        </w:rPr>
        <w:t xml:space="preserve"> M</w:t>
      </w:r>
      <w:r w:rsidRPr="00BD6812">
        <w:rPr>
          <w:rFonts w:eastAsia="Times New Roman"/>
          <w:lang w:val="es-ES"/>
        </w:rPr>
        <w:t>ercad</w:t>
      </w:r>
      <w:r>
        <w:rPr>
          <w:rFonts w:eastAsia="Times New Roman"/>
          <w:lang w:val="es-ES"/>
        </w:rPr>
        <w:t>eo</w:t>
      </w:r>
      <w:r w:rsidRPr="00BD6812">
        <w:rPr>
          <w:rFonts w:eastAsia="Times New Roman"/>
          <w:lang w:val="es-ES"/>
        </w:rPr>
        <w:t>. La S</w:t>
      </w:r>
      <w:r w:rsidRPr="00FE7F19">
        <w:t xml:space="preserve">ubparte D describe los usos relevantes de los sellos por categoría de certificación y composiciones de productos orgánicos. Todos los clientes a los quienes se les </w:t>
      </w:r>
      <w:r w:rsidR="0017298F" w:rsidRPr="00FE7F19">
        <w:t>otorgue</w:t>
      </w:r>
      <w:r w:rsidRPr="00FE7F19">
        <w:t xml:space="preserve"> la certificación orgánica QCS de conformidad con el reglamento NOP del USDA reciben el privilegio de utilizar los sellos </w:t>
      </w:r>
      <w:r w:rsidR="00F7498B" w:rsidRPr="00FE7F19">
        <w:t xml:space="preserve">de </w:t>
      </w:r>
      <w:r w:rsidRPr="00FE7F19">
        <w:t>USDA y / o QCS. Las operaciones certificadas pueden usar el logotipo del USDA,</w:t>
      </w:r>
      <w:r w:rsidR="227E1361" w:rsidRPr="00FE7F19">
        <w:rPr>
          <w:lang w:val="es"/>
        </w:rPr>
        <w:t xml:space="preserve"> con o sin la marca de registro ®, </w:t>
      </w:r>
      <w:r w:rsidRPr="00FE7F19">
        <w:t>en productos certificados</w:t>
      </w:r>
      <w:r w:rsidR="00CF204E" w:rsidRPr="00FE7F19">
        <w:t>.</w:t>
      </w:r>
    </w:p>
    <w:p w14:paraId="0C0236C3" w14:textId="73EFB453" w:rsidR="00FE4B50" w:rsidRDefault="227E1361" w:rsidP="002433E7">
      <w:pPr>
        <w:pStyle w:val="Heading4"/>
      </w:pPr>
      <w:bookmarkStart w:id="49" w:name="ISO134"/>
      <w:bookmarkEnd w:id="49"/>
      <w:r w:rsidRPr="227E1361">
        <w:t>Etiquetado bajo Equivalencia Orgánica Estados Unidos-Unión Europea</w:t>
      </w:r>
    </w:p>
    <w:p w14:paraId="12DFF529" w14:textId="67F06291" w:rsidR="00CF204E" w:rsidRPr="00174A43" w:rsidRDefault="227E1361" w:rsidP="00337BBD">
      <w:pPr>
        <w:rPr>
          <w:rFonts w:eastAsia="Calibri"/>
          <w:b/>
          <w:bCs/>
          <w:lang w:val="es-ES"/>
        </w:rPr>
      </w:pPr>
      <w:r w:rsidRPr="227E1361">
        <w:rPr>
          <w:rFonts w:eastAsia="Calibri"/>
        </w:rPr>
        <w:t xml:space="preserve">Las etiquetas o productos al detal deben incluir el código que la UE ha asignado a QCS. El código es: </w:t>
      </w:r>
      <w:r w:rsidRPr="227E1361">
        <w:rPr>
          <w:rFonts w:eastAsia="Calibri"/>
          <w:b/>
          <w:bCs/>
        </w:rPr>
        <w:t>US-ORG-051.</w:t>
      </w:r>
    </w:p>
    <w:p w14:paraId="32FDD4B3" w14:textId="37556290" w:rsidR="00CF204E" w:rsidRPr="009043C8" w:rsidRDefault="227E1361" w:rsidP="00337BBD">
      <w:pPr>
        <w:rPr>
          <w:rFonts w:eastAsia="Calibri"/>
          <w:lang w:val="es-ES"/>
        </w:rPr>
      </w:pPr>
      <w:r w:rsidRPr="227E1361">
        <w:rPr>
          <w:rFonts w:eastAsia="Calibri"/>
        </w:rPr>
        <w:t>Las etiquetas o calcomanías también pueden incluir el nombre del agente certificador de Estados Unidos.</w:t>
      </w:r>
      <w:r w:rsidR="00C2598D">
        <w:rPr>
          <w:rFonts w:eastAsia="Calibri"/>
        </w:rPr>
        <w:t xml:space="preserve"> </w:t>
      </w:r>
    </w:p>
    <w:p w14:paraId="76AFC92A" w14:textId="2C6390CF" w:rsidR="00CF204E" w:rsidRPr="00102B7F" w:rsidRDefault="227E1361" w:rsidP="00337BBD">
      <w:pPr>
        <w:rPr>
          <w:rFonts w:eastAsia="Calibri"/>
          <w:lang w:val="es-ES"/>
        </w:rPr>
      </w:pPr>
      <w:r w:rsidRPr="227E1361">
        <w:rPr>
          <w:rFonts w:eastAsia="Calibri"/>
          <w:u w:val="single"/>
        </w:rPr>
        <w:lastRenderedPageBreak/>
        <w:t>Productos orgánicos.</w:t>
      </w:r>
      <w:r w:rsidR="00C2598D">
        <w:rPr>
          <w:rFonts w:eastAsia="Calibri"/>
        </w:rPr>
        <w:t xml:space="preserve"> </w:t>
      </w:r>
      <w:r w:rsidRPr="227E1361">
        <w:rPr>
          <w:rFonts w:eastAsia="Calibri"/>
        </w:rPr>
        <w:t>Los productos certificados como "organic" en los EE. UU. y que cumplen con los términos del acuerdo mencionado anteriormente pueden venderse como "organic" en la UE. Los productos pueden incluir el logotipo orgánico de la UE y / o el sello orgánico del USDA.</w:t>
      </w:r>
    </w:p>
    <w:p w14:paraId="38F23B8D" w14:textId="77BC1F2B" w:rsidR="00CF204E" w:rsidRPr="007500C5" w:rsidRDefault="227E1361" w:rsidP="00337BBD">
      <w:pPr>
        <w:rPr>
          <w:rFonts w:eastAsia="Calibri"/>
          <w:lang w:val="es-ES"/>
        </w:rPr>
      </w:pPr>
      <w:r w:rsidRPr="227E1361">
        <w:rPr>
          <w:rFonts w:eastAsia="Calibri"/>
          <w:u w:val="single"/>
        </w:rPr>
        <w:t>Productos 100% orgánicos.</w:t>
      </w:r>
      <w:r w:rsidRPr="227E1361">
        <w:rPr>
          <w:rFonts w:eastAsia="Calibri"/>
        </w:rPr>
        <w:t xml:space="preserve"> La UE no tiene una categoría de etiquetado para productos 100% orgánicos. Los productos que cumplan los términos del acuerdo mencionado anteriormente pueden etiquetarse como "organic" e incluir el logotipo orgánico de la UE y / o el sello orgánico del USDA. </w:t>
      </w:r>
    </w:p>
    <w:p w14:paraId="1174647B" w14:textId="05905693" w:rsidR="00CF204E" w:rsidRPr="00A11A8C" w:rsidRDefault="227E1361" w:rsidP="00337BBD">
      <w:pPr>
        <w:rPr>
          <w:rFonts w:eastAsia="Calibri"/>
          <w:lang w:val="es-ES"/>
        </w:rPr>
      </w:pPr>
      <w:r w:rsidRPr="227E1361">
        <w:rPr>
          <w:rFonts w:eastAsia="Calibri"/>
          <w:u w:val="single"/>
        </w:rPr>
        <w:t>Productos “hechos con” ingredientes orgánicos</w:t>
      </w:r>
      <w:r w:rsidRPr="227E1361">
        <w:rPr>
          <w:rFonts w:eastAsia="Calibri"/>
        </w:rPr>
        <w:t>.</w:t>
      </w:r>
      <w:r>
        <w:t xml:space="preserve"> </w:t>
      </w:r>
      <w:r w:rsidRPr="227E1361">
        <w:rPr>
          <w:rFonts w:eastAsia="Calibri"/>
        </w:rPr>
        <w:t>La UE no tiene una categoría de etiquetado para productos "hechos con" ingredientes orgánicos. Para los productos que contienen menos del 95% de ingredientes orgánicos, se puede mostrar una declaración porcentual del contenido orgánico en la etiqueta. Los productos no pueden estar etiquetados con el logotipo orgánico de la UE y / o el sello orgánico USDA.</w:t>
      </w:r>
    </w:p>
    <w:p w14:paraId="49DEDAF7" w14:textId="13EBC308" w:rsidR="003F2828" w:rsidRDefault="227E1361" w:rsidP="00337BBD">
      <w:pPr>
        <w:rPr>
          <w:rFonts w:eastAsia="Times New Roman"/>
          <w:lang w:val="es-ES"/>
        </w:rPr>
      </w:pPr>
      <w:r w:rsidRPr="227E1361">
        <w:rPr>
          <w:rFonts w:eastAsia="Times New Roman"/>
          <w:u w:val="single"/>
        </w:rPr>
        <w:t>Productos a Granel.</w:t>
      </w:r>
      <w:r w:rsidRPr="227E1361">
        <w:rPr>
          <w:rFonts w:eastAsia="Times New Roman"/>
        </w:rPr>
        <w:t xml:space="preserve"> El número de lote debe estar presente para permitir una auditoría completa para verificar la integridad del producto.</w:t>
      </w:r>
    </w:p>
    <w:p w14:paraId="1C87B60D" w14:textId="1351E72B" w:rsidR="002C0309" w:rsidRPr="007C4F17" w:rsidRDefault="227E1361" w:rsidP="00055A7C">
      <w:pPr>
        <w:pStyle w:val="Heading3"/>
      </w:pPr>
      <w:bookmarkStart w:id="50" w:name="_Toc424898863"/>
      <w:bookmarkStart w:id="51" w:name="_Toc424899254"/>
      <w:bookmarkStart w:id="52" w:name="_Toc500935039"/>
      <w:r w:rsidRPr="007C4F17">
        <w:t xml:space="preserve">Reclamaciones </w:t>
      </w:r>
      <w:r w:rsidR="008D46E1" w:rsidRPr="007C4F17">
        <w:t>Regenerative Organic Certified</w:t>
      </w:r>
      <w:r w:rsidRPr="007C4F17">
        <w:t>®</w:t>
      </w:r>
    </w:p>
    <w:p w14:paraId="48FCFA3F" w14:textId="121B755F" w:rsidR="005A62BA" w:rsidRPr="00B902A4" w:rsidRDefault="0026143F" w:rsidP="00337BBD">
      <w:pPr>
        <w:rPr>
          <w:b/>
          <w:bCs/>
          <w:u w:val="single"/>
          <w:lang w:val="es-ES"/>
        </w:rPr>
      </w:pPr>
      <w:r>
        <w:rPr>
          <w:noProof/>
        </w:rPr>
        <w:drawing>
          <wp:anchor distT="0" distB="0" distL="114300" distR="114300" simplePos="0" relativeHeight="251643392" behindDoc="1" locked="0" layoutInCell="1" allowOverlap="1" wp14:anchorId="1ED048C0" wp14:editId="0CACDDB6">
            <wp:simplePos x="0" y="0"/>
            <wp:positionH relativeFrom="column">
              <wp:posOffset>0</wp:posOffset>
            </wp:positionH>
            <wp:positionV relativeFrom="paragraph">
              <wp:posOffset>21590</wp:posOffset>
            </wp:positionV>
            <wp:extent cx="2809875" cy="1123950"/>
            <wp:effectExtent l="0" t="0" r="9525" b="0"/>
            <wp:wrapTight wrapText="bothSides">
              <wp:wrapPolygon edited="0">
                <wp:start x="0" y="0"/>
                <wp:lineTo x="0" y="21234"/>
                <wp:lineTo x="21527" y="21234"/>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09875" cy="1123950"/>
                    </a:xfrm>
                    <a:prstGeom prst="rect">
                      <a:avLst/>
                    </a:prstGeom>
                  </pic:spPr>
                </pic:pic>
              </a:graphicData>
            </a:graphic>
            <wp14:sizeRelH relativeFrom="page">
              <wp14:pctWidth>0</wp14:pctWidth>
            </wp14:sizeRelH>
            <wp14:sizeRelV relativeFrom="page">
              <wp14:pctHeight>0</wp14:pctHeight>
            </wp14:sizeRelV>
          </wp:anchor>
        </w:drawing>
      </w:r>
    </w:p>
    <w:p w14:paraId="5B7A1B30" w14:textId="35CAECB1" w:rsidR="002C0309" w:rsidRPr="000D5E67" w:rsidRDefault="227E1361" w:rsidP="00337BBD">
      <w:r>
        <w:t>L</w:t>
      </w:r>
      <w:r w:rsidRPr="227E1361">
        <w:t xml:space="preserve">as operaciones en el </w:t>
      </w:r>
      <w:r w:rsidRPr="00FE7F19">
        <w:rPr>
          <w:lang w:val="es"/>
        </w:rPr>
        <w:t xml:space="preserve">Programa </w:t>
      </w:r>
      <w:r w:rsidR="00E2232E">
        <w:rPr>
          <w:lang w:val="es"/>
        </w:rPr>
        <w:t>Regenerative Organic Certified</w:t>
      </w:r>
      <w:r w:rsidRPr="00FE7F19">
        <w:rPr>
          <w:lang w:val="es"/>
        </w:rPr>
        <w:t>®</w:t>
      </w:r>
      <w:r w:rsidRPr="227E1361">
        <w:rPr>
          <w:lang w:val="es"/>
        </w:rPr>
        <w:t xml:space="preserve"> </w:t>
      </w:r>
      <w:r w:rsidRPr="227E1361">
        <w:t xml:space="preserve">deben primero cumplir con las regulaciones del USDA NOP y luego recibir un nivel de productor </w:t>
      </w:r>
      <w:r w:rsidR="00E2232E">
        <w:rPr>
          <w:rFonts w:ascii="Calibri" w:eastAsia="Calibri" w:hAnsi="Calibri" w:cs="Calibri"/>
        </w:rPr>
        <w:t>Regenerative Organic Certified</w:t>
      </w:r>
      <w:r w:rsidRPr="227E1361">
        <w:rPr>
          <w:rFonts w:ascii="Calibri" w:eastAsia="Calibri" w:hAnsi="Calibri" w:cs="Calibri"/>
        </w:rPr>
        <w:t>®</w:t>
      </w:r>
      <w:r w:rsidRPr="227E1361">
        <w:t>. En el nivel Oro y Plata, se permite el etiquetado de productos y cualquier etiquetado orgánico y regenerativo también debe cumplir con las regulaciones del USDA NOP. En el nivel Bronce, el etiquetado de product</w:t>
      </w:r>
      <w:r>
        <w:t xml:space="preserve">os no está permitido, pero las declaraciones ROC se pueden hacer públicamente en material publicitario </w:t>
      </w:r>
      <w:r w:rsidRPr="227E1361">
        <w:t xml:space="preserve">o contenido web. Además, en el Nivel Bronce, las afirmaciones sobre orgánicos y regenerativos orgánicos solo se pueden hacer sobre productos cultivados específicamente en tierras certificadas como orgánicas. Para obtener más información, consulte las </w:t>
      </w:r>
      <w:r w:rsidRPr="00FE7F19">
        <w:rPr>
          <w:lang w:val="es"/>
        </w:rPr>
        <w:t>Pautas de Etiquetado y Cadena de Custodia Certificadas Orgánicas Regenerativas®</w:t>
      </w:r>
      <w:r w:rsidRPr="227E1361">
        <w:rPr>
          <w:lang w:val="es"/>
        </w:rPr>
        <w:t>.</w:t>
      </w:r>
    </w:p>
    <w:bookmarkEnd w:id="50"/>
    <w:bookmarkEnd w:id="51"/>
    <w:bookmarkEnd w:id="52"/>
    <w:p w14:paraId="2BA196AE" w14:textId="2239665A" w:rsidR="00CF204E" w:rsidRDefault="227E1361" w:rsidP="002433E7">
      <w:pPr>
        <w:pStyle w:val="Heading3"/>
        <w:rPr>
          <w:b w:val="0"/>
          <w:lang w:val="es-ES"/>
        </w:rPr>
      </w:pPr>
      <w:r w:rsidRPr="227E1361">
        <w:t>Logotipo de la Producción Ecológica de la Unión Europea</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0"/>
        <w:gridCol w:w="3360"/>
      </w:tblGrid>
      <w:tr w:rsidR="0008545D" w:rsidRPr="000F66E1" w14:paraId="368690AB" w14:textId="77777777" w:rsidTr="0008545D">
        <w:trPr>
          <w:trHeight w:val="864"/>
          <w:jc w:val="center"/>
        </w:trPr>
        <w:tc>
          <w:tcPr>
            <w:tcW w:w="3312" w:type="dxa"/>
            <w:vAlign w:val="center"/>
          </w:tcPr>
          <w:p w14:paraId="479F57C7" w14:textId="77777777" w:rsidR="0008545D" w:rsidRPr="0008545D" w:rsidRDefault="0008545D" w:rsidP="0008545D">
            <w:pPr>
              <w:jc w:val="center"/>
              <w:rPr>
                <w:rFonts w:eastAsia="Times New Roman"/>
                <w:sz w:val="20"/>
                <w:szCs w:val="20"/>
              </w:rPr>
            </w:pPr>
            <w:r w:rsidRPr="0008545D">
              <w:rPr>
                <w:noProof/>
                <w:sz w:val="20"/>
                <w:szCs w:val="20"/>
              </w:rPr>
              <w:drawing>
                <wp:inline distT="0" distB="0" distL="0" distR="0" wp14:anchorId="6368BFD8" wp14:editId="4494A580">
                  <wp:extent cx="1371600" cy="914400"/>
                  <wp:effectExtent l="0" t="0" r="0" b="0"/>
                  <wp:docPr id="36" name="Picture 36" descr="EU organ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 organic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46F73A2B" w14:textId="2FA5F834" w:rsidR="0008545D" w:rsidRPr="0008545D" w:rsidRDefault="0008545D" w:rsidP="0008545D">
            <w:pPr>
              <w:jc w:val="center"/>
              <w:rPr>
                <w:rFonts w:eastAsia="Times New Roman"/>
                <w:sz w:val="20"/>
                <w:szCs w:val="20"/>
              </w:rPr>
            </w:pPr>
            <w:r w:rsidRPr="0008545D">
              <w:rPr>
                <w:rFonts w:eastAsia="Times New Roman"/>
                <w:sz w:val="20"/>
                <w:szCs w:val="20"/>
              </w:rPr>
              <w:t>Logotipo orgánico de la UE, color</w:t>
            </w:r>
          </w:p>
        </w:tc>
        <w:tc>
          <w:tcPr>
            <w:tcW w:w="3312" w:type="dxa"/>
            <w:vAlign w:val="center"/>
          </w:tcPr>
          <w:p w14:paraId="157F6B66" w14:textId="77777777" w:rsidR="0008545D" w:rsidRPr="0008545D" w:rsidRDefault="0008545D" w:rsidP="0008545D">
            <w:pPr>
              <w:jc w:val="center"/>
              <w:rPr>
                <w:rFonts w:eastAsia="Times New Roman"/>
                <w:sz w:val="20"/>
                <w:szCs w:val="20"/>
              </w:rPr>
            </w:pPr>
            <w:r w:rsidRPr="0008545D">
              <w:rPr>
                <w:rFonts w:eastAsia="Times New Roman"/>
                <w:noProof/>
                <w:sz w:val="20"/>
                <w:szCs w:val="20"/>
              </w:rPr>
              <w:drawing>
                <wp:inline distT="0" distB="0" distL="0" distR="0" wp14:anchorId="159DE5C9" wp14:editId="65851208">
                  <wp:extent cx="1371600" cy="914400"/>
                  <wp:effectExtent l="0" t="0" r="0" b="0"/>
                  <wp:docPr id="38" name="Picture 38" descr="A white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white stars in a circ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5447F17C" w14:textId="3DC141B8" w:rsidR="0008545D" w:rsidRPr="0008545D" w:rsidRDefault="0008545D" w:rsidP="0008545D">
            <w:pPr>
              <w:jc w:val="center"/>
              <w:rPr>
                <w:rFonts w:eastAsia="Times New Roman"/>
                <w:sz w:val="20"/>
                <w:szCs w:val="20"/>
              </w:rPr>
            </w:pPr>
            <w:r w:rsidRPr="0008545D">
              <w:rPr>
                <w:rFonts w:eastAsia="Times New Roman"/>
                <w:sz w:val="20"/>
                <w:szCs w:val="20"/>
              </w:rPr>
              <w:t>Logotipo Orgánico de la UE, Un Color Oscuro</w:t>
            </w:r>
          </w:p>
        </w:tc>
        <w:tc>
          <w:tcPr>
            <w:tcW w:w="3312" w:type="dxa"/>
            <w:vAlign w:val="center"/>
          </w:tcPr>
          <w:p w14:paraId="6707FC2F" w14:textId="77777777" w:rsidR="0008545D" w:rsidRPr="0008545D" w:rsidRDefault="0008545D" w:rsidP="0008545D">
            <w:pPr>
              <w:jc w:val="center"/>
              <w:rPr>
                <w:rFonts w:eastAsia="Times New Roman"/>
                <w:sz w:val="20"/>
                <w:szCs w:val="20"/>
              </w:rPr>
            </w:pPr>
            <w:r w:rsidRPr="0008545D">
              <w:rPr>
                <w:noProof/>
                <w:sz w:val="20"/>
                <w:szCs w:val="20"/>
              </w:rPr>
              <w:drawing>
                <wp:inline distT="0" distB="0" distL="0" distR="0" wp14:anchorId="3D1197B8" wp14:editId="66F64D60">
                  <wp:extent cx="1371600" cy="914400"/>
                  <wp:effectExtent l="0" t="0" r="0" b="0"/>
                  <wp:docPr id="40" name="Picture 40" descr="A black star and lin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star and line in a circl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3862849F" w14:textId="53011748" w:rsidR="0008545D" w:rsidRPr="0008545D" w:rsidRDefault="0008545D" w:rsidP="0008545D">
            <w:pPr>
              <w:jc w:val="center"/>
              <w:rPr>
                <w:rFonts w:eastAsia="Times New Roman"/>
                <w:sz w:val="20"/>
                <w:szCs w:val="20"/>
              </w:rPr>
            </w:pPr>
            <w:r w:rsidRPr="0008545D">
              <w:rPr>
                <w:rFonts w:eastAsia="Times New Roman"/>
                <w:sz w:val="20"/>
                <w:szCs w:val="20"/>
              </w:rPr>
              <w:t>Logotipo Orgánico de la UE, Un Color Claro</w:t>
            </w:r>
          </w:p>
        </w:tc>
      </w:tr>
    </w:tbl>
    <w:p w14:paraId="711E6640" w14:textId="109204EA" w:rsidR="00CF204E" w:rsidRPr="007209F6" w:rsidRDefault="007209F6" w:rsidP="002433E7">
      <w:pPr>
        <w:spacing w:line="240" w:lineRule="auto"/>
        <w:rPr>
          <w:rFonts w:eastAsia="Times New Roman"/>
        </w:rPr>
      </w:pPr>
      <w:r w:rsidRPr="007209F6">
        <w:rPr>
          <w:rFonts w:eastAsia="Times New Roman"/>
          <w:lang w:val="es-ES"/>
        </w:rPr>
        <w:t xml:space="preserve">El logotipo orgánico de la UE solo se utilizará si el producto en cuestión se produce de acuerdo con los requisitos del </w:t>
      </w:r>
      <w:r w:rsidR="0017298F">
        <w:rPr>
          <w:rFonts w:eastAsia="Times New Roman"/>
        </w:rPr>
        <w:t>Re</w:t>
      </w:r>
      <w:r w:rsidR="227E1361" w:rsidRPr="227E1361">
        <w:rPr>
          <w:rFonts w:eastAsia="Times New Roman"/>
        </w:rPr>
        <w:t>glamento (UE) 2018/848</w:t>
      </w:r>
      <w:r w:rsidR="0053741C">
        <w:rPr>
          <w:rFonts w:eastAsia="Times New Roman"/>
        </w:rPr>
        <w:t xml:space="preserve"> y </w:t>
      </w:r>
      <w:r w:rsidR="000E3CCF">
        <w:rPr>
          <w:rFonts w:eastAsia="Times New Roman"/>
        </w:rPr>
        <w:t>está certificado como orgánico</w:t>
      </w:r>
      <w:r w:rsidRPr="007209F6">
        <w:rPr>
          <w:rFonts w:eastAsia="Times New Roman"/>
          <w:lang w:val="es-ES"/>
        </w:rPr>
        <w:t>. El uso del logotipo europeo de producción orgánica debe cumplir con las normas establecidas en el anexo V de los Requisitos de Certificación UE 2</w:t>
      </w:r>
      <w:r w:rsidRPr="00FE7F19">
        <w:t>018/848</w:t>
      </w:r>
      <w:r w:rsidR="227E1361" w:rsidRPr="00FE7F19">
        <w:rPr>
          <w:lang w:val="es"/>
        </w:rPr>
        <w:t xml:space="preserve">, y en el manual de usuario del logotipo de agricultura orgánica de la UE (20 de noviembre de 2018). El logotipo debe aparecer en el mismo campo visual que el número de código del país de origen. Consulte el Anexo </w:t>
      </w:r>
      <w:proofErr w:type="gramStart"/>
      <w:r w:rsidR="227E1361" w:rsidRPr="00FE7F19">
        <w:rPr>
          <w:lang w:val="es"/>
        </w:rPr>
        <w:t>V(</w:t>
      </w:r>
      <w:proofErr w:type="gramEnd"/>
      <w:r w:rsidR="227E1361" w:rsidRPr="00FE7F19">
        <w:rPr>
          <w:lang w:val="es"/>
        </w:rPr>
        <w:t xml:space="preserve">2) para el formato de los números de código. El logotipo no debe ser más pequeño de 13.5 mm por 9 mm. En el caso de envases excepcionalmente pequeños, se permite 9 </w:t>
      </w:r>
      <w:r w:rsidR="227E1361" w:rsidRPr="00FE7F19">
        <w:rPr>
          <w:lang w:val="es"/>
        </w:rPr>
        <w:lastRenderedPageBreak/>
        <w:t>mm por 6 mm.</w:t>
      </w:r>
      <w:r w:rsidR="00993042" w:rsidRPr="00993042">
        <w:t xml:space="preserve"> </w:t>
      </w:r>
      <w:r w:rsidR="00993042" w:rsidRPr="00993042">
        <w:rPr>
          <w:lang w:val="es"/>
        </w:rPr>
        <w:t>El logotipo de agricultura ecológica de la UE no se utilizará en productos que hayan sido producidos durante el período de conversión.</w:t>
      </w:r>
    </w:p>
    <w:p w14:paraId="5D0786A7" w14:textId="03997EAB" w:rsidR="00A14DD0" w:rsidRPr="00BC1D78" w:rsidRDefault="227E1361" w:rsidP="002433E7">
      <w:pPr>
        <w:pStyle w:val="Heading3"/>
        <w:rPr>
          <w:b w:val="0"/>
          <w:lang w:val="es-ES"/>
        </w:rPr>
      </w:pPr>
      <w:bookmarkStart w:id="53" w:name="_Toc424898864"/>
      <w:bookmarkStart w:id="54" w:name="_Toc424899255"/>
      <w:bookmarkStart w:id="55" w:name="_Toc500935040"/>
      <w:r w:rsidRPr="00FE7F19">
        <w:rPr>
          <w:lang w:val="es"/>
        </w:rPr>
        <w:t xml:space="preserve">Marcas de Certificación </w:t>
      </w:r>
      <w:r w:rsidR="00055A7C">
        <w:rPr>
          <w:lang w:val="es"/>
        </w:rPr>
        <w:t xml:space="preserve">Orgánica </w:t>
      </w:r>
      <w:r w:rsidRPr="00FE7F19">
        <w:rPr>
          <w:lang w:val="es"/>
        </w:rPr>
        <w:t>Canadienses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7B49" w14:paraId="58EA39DE" w14:textId="77777777" w:rsidTr="00D47B49">
        <w:trPr>
          <w:trHeight w:val="1872"/>
        </w:trPr>
        <w:tc>
          <w:tcPr>
            <w:tcW w:w="4675" w:type="dxa"/>
            <w:vAlign w:val="center"/>
          </w:tcPr>
          <w:p w14:paraId="4711E71D" w14:textId="2CF98F18" w:rsidR="00D47B49" w:rsidRDefault="00D47B49" w:rsidP="00D47B49">
            <w:pPr>
              <w:spacing w:after="120"/>
              <w:jc w:val="center"/>
              <w:rPr>
                <w:rFonts w:eastAsia="Times New Roman" w:cs="Times New Roman"/>
                <w:noProof/>
                <w:lang w:val="es-ES"/>
              </w:rPr>
            </w:pPr>
            <w:r w:rsidRPr="0050394D">
              <w:rPr>
                <w:rFonts w:eastAsia="Times New Roman" w:cs="Times New Roman"/>
                <w:noProof/>
              </w:rPr>
              <w:drawing>
                <wp:inline distT="0" distB="0" distL="0" distR="0" wp14:anchorId="7CF34FD3" wp14:editId="316B472C">
                  <wp:extent cx="1112762" cy="1143000"/>
                  <wp:effectExtent l="0" t="0" r="0" b="0"/>
                  <wp:docPr id="7" name="Picture 7" descr="this is an example of the permitted presentation of the Canada organic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n example of the permitted presentation of the Canada organic logo in black and whi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2762" cy="1143000"/>
                          </a:xfrm>
                          <a:prstGeom prst="rect">
                            <a:avLst/>
                          </a:prstGeom>
                          <a:noFill/>
                          <a:ln>
                            <a:noFill/>
                          </a:ln>
                        </pic:spPr>
                      </pic:pic>
                    </a:graphicData>
                  </a:graphic>
                </wp:inline>
              </w:drawing>
            </w:r>
          </w:p>
        </w:tc>
        <w:tc>
          <w:tcPr>
            <w:tcW w:w="4675" w:type="dxa"/>
            <w:vAlign w:val="center"/>
          </w:tcPr>
          <w:p w14:paraId="14DC0CF8" w14:textId="66FA3038" w:rsidR="00D47B49" w:rsidRDefault="00D47B49" w:rsidP="00D47B49">
            <w:pPr>
              <w:spacing w:after="120"/>
              <w:jc w:val="center"/>
              <w:rPr>
                <w:rFonts w:eastAsia="Times New Roman" w:cs="Times New Roman"/>
                <w:noProof/>
                <w:lang w:val="es-ES"/>
              </w:rPr>
            </w:pPr>
            <w:r w:rsidRPr="00C76C79">
              <w:rPr>
                <w:rFonts w:eastAsia="Times New Roman" w:cs="Times New Roman"/>
                <w:noProof/>
              </w:rPr>
              <w:drawing>
                <wp:inline distT="0" distB="0" distL="0" distR="0" wp14:anchorId="2718B30E" wp14:editId="46DA5D87">
                  <wp:extent cx="1112921" cy="1143000"/>
                  <wp:effectExtent l="0" t="0" r="0" b="0"/>
                  <wp:docPr id="21" name="Picture 21" descr="this is an example of the permitted presentation of the Canada organic logo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n example of the permitted presentation of the Canada organic logo in colou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12921" cy="1143000"/>
                          </a:xfrm>
                          <a:prstGeom prst="rect">
                            <a:avLst/>
                          </a:prstGeom>
                          <a:noFill/>
                          <a:ln>
                            <a:noFill/>
                          </a:ln>
                        </pic:spPr>
                      </pic:pic>
                    </a:graphicData>
                  </a:graphic>
                </wp:inline>
              </w:drawing>
            </w:r>
          </w:p>
        </w:tc>
      </w:tr>
    </w:tbl>
    <w:p w14:paraId="5F98074D" w14:textId="272C3BAD" w:rsidR="00BC1D78" w:rsidRDefault="00BC1D78" w:rsidP="0072112D">
      <w:pPr>
        <w:shd w:val="clear" w:color="auto" w:fill="FFFFFF" w:themeFill="background1"/>
        <w:spacing w:after="120"/>
        <w:rPr>
          <w:rFonts w:eastAsia="Times New Roman" w:cs="Times New Roman"/>
          <w:noProof/>
          <w:lang w:val="es-ES"/>
        </w:rPr>
      </w:pPr>
      <w:r w:rsidRPr="227E1361">
        <w:rPr>
          <w:rFonts w:eastAsia="Times New Roman" w:cs="Times New Roman"/>
          <w:noProof/>
          <w:lang w:val="es-ES"/>
        </w:rPr>
        <w:t xml:space="preserve">El uso del logotipo "Canada Organic" solo está autorizado si el producto en cuestión se produce de </w:t>
      </w:r>
      <w:r w:rsidR="00EA47F1" w:rsidRPr="227E1361">
        <w:rPr>
          <w:rFonts w:eastAsia="Times New Roman" w:cs="Times New Roman"/>
          <w:noProof/>
          <w:lang w:val="es-ES"/>
        </w:rPr>
        <w:t xml:space="preserve">conformidad con </w:t>
      </w:r>
      <w:r w:rsidRPr="227E1361">
        <w:rPr>
          <w:rFonts w:eastAsia="Times New Roman" w:cs="Times New Roman"/>
          <w:noProof/>
          <w:lang w:val="es-ES"/>
        </w:rPr>
        <w:t xml:space="preserve">SFCR, CAN/CGSB -32.310, CAN/CGSB 32.311 y el Manual Operativo del Régimen Orgánico de Canadá (COR). El uso del logotipo orgánico solo está permitido en productos que tienen un contenido orgánico mayor o igual al 95% y que han sido certificados de </w:t>
      </w:r>
      <w:r w:rsidR="00EA47F1" w:rsidRPr="227E1361">
        <w:rPr>
          <w:rFonts w:eastAsia="Times New Roman" w:cs="Times New Roman"/>
          <w:noProof/>
          <w:lang w:val="es-ES"/>
        </w:rPr>
        <w:t xml:space="preserve">conformidad </w:t>
      </w:r>
      <w:r w:rsidRPr="227E1361">
        <w:rPr>
          <w:rFonts w:eastAsia="Times New Roman" w:cs="Times New Roman"/>
          <w:noProof/>
          <w:lang w:val="es-ES"/>
        </w:rPr>
        <w:t xml:space="preserve">con los requisitos del </w:t>
      </w:r>
      <w:r w:rsidR="227E1361" w:rsidRPr="227E1361">
        <w:rPr>
          <w:rFonts w:eastAsia="Times New Roman" w:cs="Times New Roman"/>
        </w:rPr>
        <w:t>Régimen Orgánico de Canadá</w:t>
      </w:r>
      <w:r w:rsidRPr="227E1361">
        <w:rPr>
          <w:rFonts w:eastAsia="Times New Roman" w:cs="Times New Roman"/>
          <w:noProof/>
          <w:lang w:val="es-ES"/>
        </w:rPr>
        <w:t>. El uso del logotipo orgánico es voluntario, pero cuando se usa está sujeto a los requisitos del SFCR [359(1)].</w:t>
      </w:r>
    </w:p>
    <w:p w14:paraId="2AB0DAA0" w14:textId="451DDBC5" w:rsidR="00A14DD0" w:rsidRPr="00BC1D78" w:rsidRDefault="227E1361" w:rsidP="0072112D">
      <w:pPr>
        <w:shd w:val="clear" w:color="auto" w:fill="FFFFFF" w:themeFill="background1"/>
        <w:spacing w:after="120"/>
        <w:jc w:val="left"/>
        <w:rPr>
          <w:rFonts w:eastAsia="Times New Roman" w:cs="Times New Roman"/>
          <w:lang w:val="es-ES"/>
        </w:rPr>
      </w:pPr>
      <w:r w:rsidRPr="227E1361">
        <w:rPr>
          <w:rFonts w:eastAsia="Times New Roman" w:cs="Times New Roman"/>
        </w:rPr>
        <w:t>Los productos importados deben cumplir con los requisitos del Régimen Orgánico de Canadá. Los productos importados que lleven el logotipo deben incluir:</w:t>
      </w:r>
    </w:p>
    <w:p w14:paraId="5D9228C5" w14:textId="6FFA2641" w:rsidR="00133933" w:rsidRPr="007331A5" w:rsidRDefault="227E1361" w:rsidP="002735CF">
      <w:pPr>
        <w:numPr>
          <w:ilvl w:val="0"/>
          <w:numId w:val="22"/>
        </w:numPr>
        <w:shd w:val="clear" w:color="auto" w:fill="FFFFFF" w:themeFill="background1"/>
        <w:spacing w:after="0"/>
        <w:ind w:left="360"/>
        <w:jc w:val="left"/>
        <w:rPr>
          <w:rFonts w:eastAsia="Times New Roman" w:cs="Times New Roman"/>
          <w:lang w:val="es-ES"/>
        </w:rPr>
      </w:pPr>
      <w:r w:rsidRPr="227E1361">
        <w:rPr>
          <w:rFonts w:eastAsia="Times New Roman" w:cs="Times New Roman"/>
        </w:rPr>
        <w:t>La declaración "Producto de", inmediatamente antes del nombre del</w:t>
      </w:r>
      <w:r w:rsidR="007331A5">
        <w:rPr>
          <w:rFonts w:eastAsia="Times New Roman" w:cs="Times New Roman"/>
          <w:lang w:val="es-ES"/>
        </w:rPr>
        <w:t xml:space="preserve"> </w:t>
      </w:r>
      <w:r w:rsidRPr="007331A5">
        <w:rPr>
          <w:rFonts w:eastAsia="Times New Roman" w:cs="Times New Roman"/>
        </w:rPr>
        <w:t xml:space="preserve">país de origen, </w:t>
      </w:r>
      <w:r w:rsidR="00EC58D2">
        <w:rPr>
          <w:rFonts w:eastAsia="Times New Roman" w:cs="Times New Roman"/>
        </w:rPr>
        <w:br/>
      </w:r>
      <w:r w:rsidRPr="007331A5">
        <w:rPr>
          <w:rFonts w:eastAsia="Times New Roman" w:cs="Times New Roman"/>
          <w:b/>
          <w:bCs/>
        </w:rPr>
        <w:t>O</w:t>
      </w:r>
    </w:p>
    <w:p w14:paraId="1B57854C" w14:textId="52BA2527" w:rsidR="0026143F" w:rsidRPr="00133933" w:rsidRDefault="227E1361" w:rsidP="002735CF">
      <w:pPr>
        <w:numPr>
          <w:ilvl w:val="0"/>
          <w:numId w:val="22"/>
        </w:numPr>
        <w:shd w:val="clear" w:color="auto" w:fill="FFFFFF" w:themeFill="background1"/>
        <w:spacing w:line="240" w:lineRule="auto"/>
        <w:ind w:left="360"/>
        <w:jc w:val="left"/>
        <w:rPr>
          <w:rFonts w:eastAsia="Times New Roman" w:cs="Times New Roman"/>
        </w:rPr>
      </w:pPr>
      <w:r w:rsidRPr="227E1361">
        <w:rPr>
          <w:rFonts w:eastAsia="Times New Roman" w:cs="Times New Roman"/>
        </w:rPr>
        <w:t>La declaración "Importado", en proximidad al logotipo</w:t>
      </w:r>
    </w:p>
    <w:p w14:paraId="734844BC" w14:textId="33B335CA" w:rsidR="009C3D30" w:rsidRPr="009B20B4" w:rsidRDefault="227E1361" w:rsidP="0072112D">
      <w:pPr>
        <w:shd w:val="clear" w:color="auto" w:fill="FFFFFF" w:themeFill="background1"/>
        <w:spacing w:after="120"/>
        <w:jc w:val="left"/>
        <w:rPr>
          <w:rFonts w:eastAsia="Times New Roman" w:cs="Times New Roman"/>
          <w:lang w:val="es-ES"/>
        </w:rPr>
      </w:pPr>
      <w:bookmarkStart w:id="56" w:name="_Toc277166684"/>
      <w:bookmarkStart w:id="57" w:name="_Toc474161819"/>
      <w:bookmarkStart w:id="58" w:name="_Toc474161845"/>
      <w:bookmarkStart w:id="59" w:name="_Toc500935041"/>
      <w:bookmarkEnd w:id="53"/>
      <w:bookmarkEnd w:id="54"/>
      <w:bookmarkEnd w:id="55"/>
      <w:r w:rsidRPr="227E1361">
        <w:rPr>
          <w:rFonts w:eastAsia="Times New Roman" w:cs="Times New Roman"/>
        </w:rPr>
        <w:t>Estas declaraciones deben aparecer en la etiqueta en francés e inglés, a menos que se aplique una exención de etiquetado bilingüe SFCR [354(d), 355(3)].</w:t>
      </w:r>
    </w:p>
    <w:p w14:paraId="36E2EBDD" w14:textId="6874E7AE" w:rsidR="00C346DB" w:rsidRDefault="00C346DB" w:rsidP="00337BBD">
      <w:pPr>
        <w:shd w:val="clear" w:color="auto" w:fill="FFFFFF" w:themeFill="background1"/>
        <w:spacing w:after="173"/>
        <w:jc w:val="left"/>
        <w:rPr>
          <w:rFonts w:eastAsia="Times New Roman" w:cs="Times New Roman"/>
          <w:lang w:val="es-ES"/>
        </w:rPr>
      </w:pPr>
      <w:r>
        <w:rPr>
          <w:rFonts w:eastAsia="Times New Roman" w:cs="Times New Roman"/>
          <w:lang w:val="es-ES"/>
        </w:rPr>
        <w:br w:type="page"/>
      </w:r>
    </w:p>
    <w:p w14:paraId="61038D84" w14:textId="6E20700F" w:rsidR="00CF204E" w:rsidRPr="00F91DD0" w:rsidRDefault="227E1361" w:rsidP="00467C83">
      <w:pPr>
        <w:pStyle w:val="Heading1"/>
        <w:spacing w:before="0" w:after="240" w:line="240" w:lineRule="auto"/>
        <w:rPr>
          <w:rFonts w:eastAsia="Calibri"/>
          <w:b w:val="0"/>
          <w:bCs/>
          <w:szCs w:val="40"/>
          <w:highlight w:val="yellow"/>
          <w:lang w:val="es-419"/>
        </w:rPr>
      </w:pPr>
      <w:bookmarkStart w:id="60" w:name="_Toc159414643"/>
      <w:r w:rsidRPr="227E1361">
        <w:rPr>
          <w:szCs w:val="40"/>
        </w:rPr>
        <w:lastRenderedPageBreak/>
        <w:t xml:space="preserve">06 </w:t>
      </w:r>
      <w:bookmarkEnd w:id="56"/>
      <w:bookmarkEnd w:id="57"/>
      <w:bookmarkEnd w:id="58"/>
      <w:bookmarkEnd w:id="59"/>
      <w:r w:rsidRPr="227E1361">
        <w:rPr>
          <w:szCs w:val="40"/>
        </w:rPr>
        <w:t>Pasos de la Certificación</w:t>
      </w:r>
      <w:bookmarkEnd w:id="60"/>
    </w:p>
    <w:p w14:paraId="4FC521C4" w14:textId="6FD95223" w:rsidR="00CF204E" w:rsidRDefault="227E1361" w:rsidP="00337BBD">
      <w:pPr>
        <w:rPr>
          <w:rFonts w:eastAsia="Calibri"/>
        </w:rPr>
      </w:pPr>
      <w:r w:rsidRPr="227E1361">
        <w:rPr>
          <w:rFonts w:eastAsia="Calibri"/>
        </w:rPr>
        <w:t xml:space="preserve">Los pasos de certificación QCS son el proceso general mediante el cual QCS garantiza la conformidad del cliente con los estándares aplicables. En su mayor parte, los pasos de certificación son congruentes con ISO / IEC 17065 y </w:t>
      </w:r>
      <w:r w:rsidRPr="227E1361">
        <w:rPr>
          <w:rFonts w:ascii="Calibri" w:eastAsia="Calibri" w:hAnsi="Calibri" w:cs="Calibri"/>
        </w:rPr>
        <w:t>las políticas y procedim</w:t>
      </w:r>
      <w:r w:rsidRPr="00FE7F19">
        <w:t>ientos de NOP; cualquier diferencia para los diversos programas se observa como tal (es decir,</w:t>
      </w:r>
      <w:r w:rsidRPr="00FE7F19">
        <w:rPr>
          <w:lang w:val="es"/>
        </w:rPr>
        <w:t xml:space="preserve"> </w:t>
      </w:r>
      <w:r w:rsidR="00E2232E">
        <w:rPr>
          <w:lang w:val="es"/>
        </w:rPr>
        <w:t>Regenerative Organic Certified</w:t>
      </w:r>
      <w:r w:rsidRPr="00FE7F19">
        <w:rPr>
          <w:lang w:val="es"/>
        </w:rPr>
        <w:t>®, Requisitos de Certificación del Reglamento (UE) 2018/848 o, Régimen Orgánico Canadiense</w:t>
      </w:r>
      <w:r w:rsidRPr="00FE7F19">
        <w:t>).</w:t>
      </w:r>
    </w:p>
    <w:p w14:paraId="58AD38AA" w14:textId="5C5CEB4B" w:rsidR="00CF204E" w:rsidRPr="00D90DF9" w:rsidRDefault="227E1361" w:rsidP="002433E7">
      <w:pPr>
        <w:pStyle w:val="Heading2"/>
      </w:pPr>
      <w:r w:rsidRPr="227E1361">
        <w:t>PRIMER PASO</w:t>
      </w:r>
      <w:r w:rsidR="00D967D9">
        <w:tab/>
      </w:r>
      <w:r w:rsidRPr="227E1361">
        <w:t>Paquete de Solicitud</w:t>
      </w:r>
      <w:r w:rsidR="00C909B1">
        <w:t xml:space="preserve"> 01</w:t>
      </w:r>
    </w:p>
    <w:p w14:paraId="0863B125" w14:textId="25AC8C95" w:rsidR="00CF204E" w:rsidRPr="0003454A" w:rsidRDefault="227E1361" w:rsidP="00337BBD">
      <w:pPr>
        <w:rPr>
          <w:rFonts w:eastAsia="Times New Roman"/>
          <w:lang w:val="es-ES"/>
        </w:rPr>
      </w:pPr>
      <w:r w:rsidRPr="227E1361">
        <w:rPr>
          <w:rFonts w:eastAsia="Times New Roman"/>
        </w:rPr>
        <w:t>Un paquete de solicitud inicial se proporciona a cualquier solicitante a pedido. A los clientes internacionales que soliciten un paquete físico se les puede cobrar un costo de envío. El paquete de solicitud contiene una descripción detallada de los procedimientos de inspección y certificación para todas las categorías y alcances de certificación, incluyendo todas las normas para la certificación y los derechos y deberes del cliente del solicitante.</w:t>
      </w:r>
    </w:p>
    <w:p w14:paraId="738F94AE" w14:textId="5DFFA989" w:rsidR="00A43510" w:rsidRPr="00BC0F7F" w:rsidRDefault="227E1361" w:rsidP="00337BBD">
      <w:pPr>
        <w:rPr>
          <w:rFonts w:eastAsia="Times New Roman"/>
          <w:lang w:val="es-ES"/>
        </w:rPr>
      </w:pPr>
      <w:r w:rsidRPr="227E1361">
        <w:rPr>
          <w:rFonts w:eastAsia="Times New Roman"/>
        </w:rPr>
        <w:t>El paquete de certificación QCS contiene lo siguiente:</w:t>
      </w:r>
    </w:p>
    <w:p w14:paraId="6647D8E9" w14:textId="173E910B" w:rsidR="00CF204E" w:rsidRPr="004A3B3D" w:rsidRDefault="227E1361" w:rsidP="002828D9">
      <w:pPr>
        <w:pStyle w:val="ListParagraph"/>
        <w:numPr>
          <w:ilvl w:val="1"/>
          <w:numId w:val="5"/>
        </w:numPr>
        <w:spacing w:after="0" w:line="240" w:lineRule="auto"/>
        <w:ind w:left="360"/>
        <w:contextualSpacing w:val="0"/>
        <w:rPr>
          <w:rFonts w:eastAsia="Times New Roman"/>
        </w:rPr>
      </w:pPr>
      <w:r w:rsidRPr="227E1361">
        <w:rPr>
          <w:rFonts w:eastAsia="Times New Roman"/>
        </w:rPr>
        <w:t>Manual de Certificación de QCS</w:t>
      </w:r>
    </w:p>
    <w:p w14:paraId="2E25C6D3" w14:textId="47319212" w:rsidR="00177592" w:rsidRPr="002828D9" w:rsidRDefault="227E1361" w:rsidP="002828D9">
      <w:pPr>
        <w:pStyle w:val="ListParagraph"/>
        <w:numPr>
          <w:ilvl w:val="1"/>
          <w:numId w:val="5"/>
        </w:numPr>
        <w:spacing w:after="0" w:line="240" w:lineRule="auto"/>
        <w:ind w:left="360"/>
        <w:contextualSpacing w:val="0"/>
        <w:rPr>
          <w:rFonts w:eastAsia="Times New Roman"/>
          <w:lang w:val="es"/>
        </w:rPr>
      </w:pPr>
      <w:r w:rsidRPr="00FE7F19">
        <w:rPr>
          <w:rFonts w:eastAsia="Times New Roman"/>
          <w:lang w:val="es"/>
        </w:rPr>
        <w:t xml:space="preserve">Regulaciones Orgánicas del USDA, estándares de Certificación Orgánica Regenerativa®, estándares del Programa de Ganado Orgánico Alimentado con Pasto Certificado, Requisitos de Certificación del Reglamento (UE) 2018/848, Régimen Orgánico de Canadá </w:t>
      </w:r>
      <w:r w:rsidRPr="002828D9">
        <w:rPr>
          <w:rFonts w:eastAsia="Times New Roman"/>
        </w:rPr>
        <w:t>y otros requisitos del mercado según corresponda</w:t>
      </w:r>
    </w:p>
    <w:p w14:paraId="67B32232" w14:textId="327FF0A2" w:rsidR="00177592" w:rsidRPr="00177592" w:rsidRDefault="227E1361" w:rsidP="002828D9">
      <w:pPr>
        <w:pStyle w:val="ListParagraph"/>
        <w:numPr>
          <w:ilvl w:val="1"/>
          <w:numId w:val="5"/>
        </w:numPr>
        <w:spacing w:after="0"/>
        <w:ind w:left="360"/>
        <w:contextualSpacing w:val="0"/>
        <w:rPr>
          <w:rFonts w:eastAsia="Times New Roman"/>
          <w:lang w:val="es-ES"/>
        </w:rPr>
      </w:pPr>
      <w:r w:rsidRPr="227E1361">
        <w:rPr>
          <w:rFonts w:eastAsia="Times New Roman"/>
        </w:rPr>
        <w:t>Estructura(s) de Tarifas y Formulario(s) de Pago de Tarifas</w:t>
      </w:r>
    </w:p>
    <w:p w14:paraId="2A79EEC5" w14:textId="74DFCE0F" w:rsidR="00CF204E" w:rsidRPr="00177592" w:rsidRDefault="227E1361" w:rsidP="002828D9">
      <w:pPr>
        <w:pStyle w:val="ListParagraph"/>
        <w:numPr>
          <w:ilvl w:val="1"/>
          <w:numId w:val="5"/>
        </w:numPr>
        <w:spacing w:after="0"/>
        <w:ind w:left="360"/>
        <w:contextualSpacing w:val="0"/>
        <w:rPr>
          <w:rFonts w:eastAsia="Times New Roman"/>
          <w:lang w:val="es-ES"/>
        </w:rPr>
      </w:pPr>
      <w:r w:rsidRPr="227E1361">
        <w:rPr>
          <w:rFonts w:eastAsia="Times New Roman"/>
        </w:rPr>
        <w:t xml:space="preserve">Solicitud por Categoría de Certificación, incluyendo el </w:t>
      </w:r>
      <w:r w:rsidR="00C04921">
        <w:rPr>
          <w:rFonts w:eastAsia="Times New Roman"/>
        </w:rPr>
        <w:t>Plan de sistema orgánico</w:t>
      </w:r>
      <w:r w:rsidRPr="227E1361">
        <w:rPr>
          <w:rFonts w:eastAsia="Times New Roman"/>
        </w:rPr>
        <w:t xml:space="preserve"> y el Acuerdo de Licencia de Marca y Certificación QCS Hoja Informativa</w:t>
      </w:r>
    </w:p>
    <w:p w14:paraId="2C02C24F" w14:textId="4D704EB0" w:rsidR="00971023" w:rsidRDefault="227E1361" w:rsidP="002828D9">
      <w:pPr>
        <w:pStyle w:val="ListParagraph"/>
        <w:numPr>
          <w:ilvl w:val="1"/>
          <w:numId w:val="5"/>
        </w:numPr>
        <w:spacing w:after="0"/>
        <w:ind w:left="360"/>
        <w:contextualSpacing w:val="0"/>
        <w:rPr>
          <w:rFonts w:eastAsia="Times New Roman"/>
          <w:lang w:val="es-ES"/>
        </w:rPr>
      </w:pPr>
      <w:r w:rsidRPr="227E1361">
        <w:rPr>
          <w:rFonts w:eastAsia="Times New Roman"/>
        </w:rPr>
        <w:t>Boletín informativo por alcance para operaciones que busquen certificación</w:t>
      </w:r>
    </w:p>
    <w:p w14:paraId="568D17FF" w14:textId="0E490F0F" w:rsidR="00CF204E" w:rsidRPr="00E7659E" w:rsidRDefault="227E1361" w:rsidP="002828D9">
      <w:pPr>
        <w:pStyle w:val="ListParagraph"/>
        <w:numPr>
          <w:ilvl w:val="1"/>
          <w:numId w:val="5"/>
        </w:numPr>
        <w:spacing w:after="0"/>
        <w:ind w:left="360"/>
        <w:contextualSpacing w:val="0"/>
        <w:rPr>
          <w:rFonts w:eastAsia="Calibri"/>
          <w:lang w:val="es-ES"/>
        </w:rPr>
      </w:pPr>
      <w:r w:rsidRPr="227E1361">
        <w:rPr>
          <w:rFonts w:eastAsia="Times New Roman"/>
        </w:rPr>
        <w:t>Otra información que se considere necesaria (por ejemplo, folletos, boletines informativos)</w:t>
      </w:r>
    </w:p>
    <w:p w14:paraId="7DDE8074" w14:textId="328E782C" w:rsidR="00CF204E" w:rsidRPr="00382750" w:rsidRDefault="227E1361" w:rsidP="00337BBD">
      <w:pPr>
        <w:rPr>
          <w:rFonts w:eastAsia="Calibri"/>
          <w:lang w:val="es-ES"/>
        </w:rPr>
      </w:pPr>
      <w:r w:rsidRPr="227E1361">
        <w:rPr>
          <w:rFonts w:eastAsia="Calibri"/>
        </w:rPr>
        <w:t>El cliente es responsable de mantener estos documentos iniciales, que se utilizan a lo largo de los pasos de certificación descritos en esta sección.</w:t>
      </w:r>
    </w:p>
    <w:p w14:paraId="0DD9D334" w14:textId="61C79135" w:rsidR="00CF204E" w:rsidRPr="00065D8F" w:rsidRDefault="227E1361" w:rsidP="00337BBD">
      <w:pPr>
        <w:rPr>
          <w:rFonts w:eastAsia="Calibri"/>
          <w:lang w:val="es-ES"/>
        </w:rPr>
      </w:pPr>
      <w:r w:rsidRPr="227E1361">
        <w:rPr>
          <w:rFonts w:eastAsia="Calibri"/>
        </w:rPr>
        <w:t xml:space="preserve">La </w:t>
      </w:r>
      <w:r w:rsidRPr="00FE7F19">
        <w:rPr>
          <w:rFonts w:eastAsia="Calibri"/>
          <w:i/>
          <w:iCs/>
        </w:rPr>
        <w:t xml:space="preserve">Solicitud/ </w:t>
      </w:r>
      <w:r w:rsidR="00C04921">
        <w:rPr>
          <w:rFonts w:eastAsia="Calibri"/>
          <w:i/>
          <w:iCs/>
        </w:rPr>
        <w:t>Plan de sistema orgánico</w:t>
      </w:r>
      <w:r w:rsidRPr="227E1361">
        <w:rPr>
          <w:rFonts w:eastAsia="Calibri"/>
          <w:i/>
          <w:iCs/>
        </w:rPr>
        <w:t xml:space="preserve"> (OSP)</w:t>
      </w:r>
      <w:r w:rsidRPr="227E1361">
        <w:rPr>
          <w:rFonts w:eastAsia="Calibri"/>
        </w:rPr>
        <w:t xml:space="preserve"> para cada tipo de categoría de certificación debe completarse y devolverse a QCS. El solicitante debe hacer dos copias de la presentación, incluidos los archivos adjuntos, conservar una copia y enviar la otra copia junto con la solicitud original completa y las tarifas. Tenga en cuenta </w:t>
      </w:r>
      <w:proofErr w:type="gramStart"/>
      <w:r w:rsidRPr="227E1361">
        <w:rPr>
          <w:rFonts w:eastAsia="Calibri"/>
        </w:rPr>
        <w:t>que</w:t>
      </w:r>
      <w:proofErr w:type="gramEnd"/>
      <w:r w:rsidRPr="227E1361">
        <w:rPr>
          <w:rFonts w:eastAsia="Calibri"/>
        </w:rPr>
        <w:t xml:space="preserve"> si un solicitante solicita una copia de la solicitud completa, se cobra una tarifa administrativa/de copia de acuerdo con la Estructura de tarifas de QCS.</w:t>
      </w:r>
    </w:p>
    <w:p w14:paraId="18E08667" w14:textId="0CAB4B7B" w:rsidR="00CF204E" w:rsidRPr="00F96D3E" w:rsidRDefault="227E1361" w:rsidP="002433E7">
      <w:pPr>
        <w:pStyle w:val="Heading3"/>
        <w:rPr>
          <w:b w:val="0"/>
          <w:lang w:val="es-ES"/>
        </w:rPr>
      </w:pPr>
      <w:r w:rsidRPr="227E1361">
        <w:t>Solicitud (</w:t>
      </w:r>
      <w:r w:rsidR="00C04921">
        <w:t>Plan de sistema orgánico</w:t>
      </w:r>
      <w:r w:rsidRPr="227E1361">
        <w:t>) /</w:t>
      </w:r>
      <w:r>
        <w:t xml:space="preserve"> </w:t>
      </w:r>
      <w:r w:rsidRPr="227E1361">
        <w:t>Disposiciones de Renovación</w:t>
      </w:r>
    </w:p>
    <w:p w14:paraId="7890DB3B" w14:textId="0C166533" w:rsidR="00CF204E" w:rsidRPr="00B33C12" w:rsidRDefault="227E1361" w:rsidP="00337BBD">
      <w:pPr>
        <w:rPr>
          <w:rFonts w:eastAsia="Times New Roman"/>
          <w:lang w:val="es-ES"/>
        </w:rPr>
      </w:pPr>
      <w:r w:rsidRPr="227E1361">
        <w:rPr>
          <w:rFonts w:eastAsia="Times New Roman"/>
        </w:rPr>
        <w:t xml:space="preserve">QCS requiere que todos los clientes completen una </w:t>
      </w:r>
      <w:r w:rsidRPr="00FE7F19">
        <w:rPr>
          <w:rFonts w:eastAsia="Times New Roman"/>
          <w:i/>
          <w:iCs/>
        </w:rPr>
        <w:t xml:space="preserve">Aplicación / </w:t>
      </w:r>
      <w:r w:rsidR="00C04921">
        <w:rPr>
          <w:rFonts w:eastAsia="Times New Roman"/>
          <w:i/>
          <w:iCs/>
        </w:rPr>
        <w:t>Plan de sistema orgánico</w:t>
      </w:r>
      <w:r w:rsidRPr="00FE7F19">
        <w:rPr>
          <w:rFonts w:eastAsia="Times New Roman"/>
          <w:i/>
          <w:iCs/>
        </w:rPr>
        <w:t xml:space="preserve"> (OSP) </w:t>
      </w:r>
      <w:r w:rsidRPr="227E1361">
        <w:rPr>
          <w:rFonts w:eastAsia="Times New Roman"/>
        </w:rPr>
        <w:t>para cada alcance de certificación. La solicitud requiere como mínimo lo siguiente: El alcance de certificación deseado y el nombre corporativo y la entidad, incluida la dirección y el estado legal.</w:t>
      </w:r>
    </w:p>
    <w:p w14:paraId="0416740F" w14:textId="55B5F368" w:rsidR="00682781" w:rsidRPr="00BF794B" w:rsidRDefault="227E1361" w:rsidP="00337BBD">
      <w:pPr>
        <w:rPr>
          <w:rFonts w:eastAsia="Times New Roman"/>
          <w:lang w:val="es-ES"/>
        </w:rPr>
      </w:pPr>
      <w:r w:rsidRPr="227E1361">
        <w:rPr>
          <w:rFonts w:eastAsia="Times New Roman"/>
        </w:rPr>
        <w:t xml:space="preserve">La solicitud también cumple el propósito del </w:t>
      </w:r>
      <w:r w:rsidR="00C04921">
        <w:rPr>
          <w:rFonts w:eastAsia="Times New Roman"/>
        </w:rPr>
        <w:t>Plan de sistema orgánico</w:t>
      </w:r>
      <w:r w:rsidRPr="227E1361">
        <w:rPr>
          <w:rFonts w:eastAsia="Times New Roman"/>
        </w:rPr>
        <w:t xml:space="preserve"> (OSP) requerido, que no solo describe las actividades para el cumplimiento con el NOP, sino que también describe los estándares adicionales requeridos para la exportación y otros programas aplicables.</w:t>
      </w:r>
    </w:p>
    <w:p w14:paraId="6C6F1593" w14:textId="1D7FFD8B" w:rsidR="00682781" w:rsidRPr="002B60F1" w:rsidRDefault="227E1361" w:rsidP="00337BBD">
      <w:pPr>
        <w:rPr>
          <w:rFonts w:eastAsia="Times New Roman"/>
          <w:lang w:val="es-ES"/>
        </w:rPr>
      </w:pPr>
      <w:r w:rsidRPr="227E1361">
        <w:rPr>
          <w:rFonts w:eastAsia="Times New Roman"/>
        </w:rPr>
        <w:t xml:space="preserve">Anualmente, QCS requiere que los operadores certificados renueven su certificación actualizando el </w:t>
      </w:r>
      <w:r w:rsidR="00C04921">
        <w:rPr>
          <w:rFonts w:eastAsia="Times New Roman"/>
        </w:rPr>
        <w:t>Plan de sistema orgánico</w:t>
      </w:r>
      <w:r w:rsidRPr="227E1361">
        <w:rPr>
          <w:rFonts w:eastAsia="Times New Roman"/>
        </w:rPr>
        <w:t xml:space="preserve">. </w:t>
      </w:r>
    </w:p>
    <w:p w14:paraId="33E5E29F" w14:textId="5BF5E926" w:rsidR="00BA7E77" w:rsidRPr="00BA7E77" w:rsidRDefault="227E1361" w:rsidP="002433E7">
      <w:pPr>
        <w:pStyle w:val="Heading3"/>
        <w:rPr>
          <w:b w:val="0"/>
          <w:lang w:val="es-ES"/>
        </w:rPr>
      </w:pPr>
      <w:r w:rsidRPr="227E1361">
        <w:lastRenderedPageBreak/>
        <w:t>Solicitud (</w:t>
      </w:r>
      <w:r w:rsidR="00C04921">
        <w:t>Plan de sistema orgánico</w:t>
      </w:r>
      <w:r w:rsidRPr="227E1361">
        <w:t>) / Disposiciones de Renovación</w:t>
      </w:r>
      <w:r w:rsidR="00FB763E">
        <w:t xml:space="preserve"> </w:t>
      </w:r>
      <w:r w:rsidRPr="227E1361">
        <w:t>-</w:t>
      </w:r>
      <w:r w:rsidR="00FB763E">
        <w:t xml:space="preserve"> </w:t>
      </w:r>
      <w:r w:rsidRPr="227E1361">
        <w:t>COR</w:t>
      </w:r>
    </w:p>
    <w:p w14:paraId="30111D26" w14:textId="40B107AA" w:rsidR="00A14DD0" w:rsidRPr="00BA7E77" w:rsidRDefault="227E1361" w:rsidP="00337BBD">
      <w:pPr>
        <w:rPr>
          <w:rFonts w:eastAsia="Times New Roman"/>
          <w:lang w:val="es-ES"/>
        </w:rPr>
      </w:pPr>
      <w:r w:rsidRPr="227E1361">
        <w:rPr>
          <w:rFonts w:eastAsia="Times New Roman"/>
        </w:rPr>
        <w:t>En el caso de una solicitud para un producto alimenticio, la solicitud debe presentarse dentro de los 12 meses anteriores al día en que se espera vender el producto alimenticio o, en el caso de una solicitud para los siguientes productos alimenticios, al menos 15 meses antes de ese día: a) cultivos de campo o cultivos que se cultivan en invernadero con un sistema permanente en el suelo y cultivos silvestres. COR tiene otros alcances de certificación no cubiertos por QCS que son aplicables a esta disposición.</w:t>
      </w:r>
    </w:p>
    <w:p w14:paraId="61F09A98" w14:textId="627FD8C0" w:rsidR="00A14DD0" w:rsidRPr="00ED5703" w:rsidRDefault="227E1361" w:rsidP="00337BBD">
      <w:pPr>
        <w:rPr>
          <w:rFonts w:eastAsia="Times New Roman"/>
          <w:lang w:val="es-ES"/>
        </w:rPr>
      </w:pPr>
      <w:r w:rsidRPr="227E1361">
        <w:rPr>
          <w:rFonts w:eastAsia="Times New Roman"/>
        </w:rPr>
        <w:t>Las personas que buscan la certificación de sus productos o actividades de empaquetado y etiquetado deben solicitar la certificación a QCS. QCS verifica si el solicitante posee otros tipos de certificaciones: certificación de empaquetado y etiquetado y / o certificación de cumplimiento.</w:t>
      </w:r>
    </w:p>
    <w:p w14:paraId="0FDBDCA8" w14:textId="5FF8511F" w:rsidR="00ED5703" w:rsidRDefault="227E1361" w:rsidP="002433E7">
      <w:pPr>
        <w:pStyle w:val="Heading3"/>
        <w:rPr>
          <w:b w:val="0"/>
          <w:lang w:val="es-ES"/>
        </w:rPr>
      </w:pPr>
      <w:r w:rsidRPr="227E1361">
        <w:t>Contrato de Certificación y Licencia de Marca de QCS</w:t>
      </w:r>
    </w:p>
    <w:p w14:paraId="6E131C7D" w14:textId="4BF7F7BC" w:rsidR="005A0483" w:rsidRPr="00ED5703" w:rsidRDefault="227E1361" w:rsidP="00337BBD">
      <w:pPr>
        <w:spacing w:line="240" w:lineRule="auto"/>
        <w:rPr>
          <w:rFonts w:eastAsia="Times New Roman"/>
        </w:rPr>
      </w:pPr>
      <w:r w:rsidRPr="227E1361">
        <w:rPr>
          <w:rFonts w:eastAsia="Times New Roman"/>
        </w:rPr>
        <w:t>Incluido en el P</w:t>
      </w:r>
      <w:r w:rsidR="00F6655F">
        <w:rPr>
          <w:rFonts w:eastAsia="Times New Roman"/>
        </w:rPr>
        <w:t>S</w:t>
      </w:r>
      <w:r w:rsidRPr="227E1361">
        <w:rPr>
          <w:rFonts w:eastAsia="Times New Roman"/>
        </w:rPr>
        <w:t xml:space="preserve">O está la Contrato de Certificación y Licencia de Marcas QCS. QCS requiere que todos los clientes completen un Contrato formal de Certificación y Licencia de Marca QCS para ser firmado por el representante debidamente autorizado del cliente. </w:t>
      </w:r>
    </w:p>
    <w:p w14:paraId="6E91084A" w14:textId="06750635" w:rsidR="006A74CF" w:rsidRPr="002E37E7" w:rsidRDefault="227E1361" w:rsidP="002433E7">
      <w:pPr>
        <w:pStyle w:val="Heading3"/>
        <w:rPr>
          <w:b w:val="0"/>
          <w:lang w:val="es-ES"/>
        </w:rPr>
      </w:pPr>
      <w:r w:rsidRPr="227E1361">
        <w:t>Transferencia de Certificación a Otras Agencias de Certificación</w:t>
      </w:r>
      <w:r w:rsidR="002433E7">
        <w:t xml:space="preserve"> </w:t>
      </w:r>
      <w:r w:rsidRPr="227E1361">
        <w:t>-</w:t>
      </w:r>
      <w:r w:rsidR="002433E7">
        <w:t xml:space="preserve"> </w:t>
      </w:r>
      <w:r w:rsidRPr="227E1361">
        <w:t>NOP</w:t>
      </w:r>
    </w:p>
    <w:p w14:paraId="148B0CDB" w14:textId="039E0077" w:rsidR="00F6306C" w:rsidRPr="00375366" w:rsidRDefault="00375366" w:rsidP="00337BBD">
      <w:pPr>
        <w:rPr>
          <w:rFonts w:eastAsia="Times New Roman"/>
          <w:color w:val="000000"/>
          <w:lang w:val="es-ES"/>
        </w:rPr>
      </w:pPr>
      <w:r w:rsidRPr="00375366">
        <w:rPr>
          <w:rFonts w:eastAsia="Times New Roman"/>
          <w:lang w:val="es-ES"/>
        </w:rPr>
        <w:t xml:space="preserve">La certificación NOP no es transferible entre los agentes certificadores. Los clientes que deseen transferirse de su certificador existente a QCS o viceversa, deben completar una nueva solicitud y </w:t>
      </w:r>
      <w:r w:rsidR="00A03EA6">
        <w:rPr>
          <w:rFonts w:eastAsia="Times New Roman"/>
          <w:lang w:val="es-ES"/>
        </w:rPr>
        <w:t xml:space="preserve">Plan de </w:t>
      </w:r>
      <w:r w:rsidR="00F6655F">
        <w:rPr>
          <w:rFonts w:eastAsia="Times New Roman"/>
          <w:lang w:val="es-ES"/>
        </w:rPr>
        <w:t>Sistema</w:t>
      </w:r>
      <w:r w:rsidR="00A03EA6">
        <w:rPr>
          <w:rFonts w:eastAsia="Times New Roman"/>
          <w:lang w:val="es-ES"/>
        </w:rPr>
        <w:t xml:space="preserve"> Orgánico</w:t>
      </w:r>
      <w:r w:rsidR="00A138BE">
        <w:rPr>
          <w:rFonts w:eastAsia="Times New Roman"/>
          <w:lang w:val="es-ES"/>
        </w:rPr>
        <w:t xml:space="preserve"> (</w:t>
      </w:r>
      <w:r w:rsidR="00A03EA6">
        <w:rPr>
          <w:rFonts w:eastAsia="Times New Roman"/>
          <w:lang w:val="es-ES"/>
        </w:rPr>
        <w:t>P</w:t>
      </w:r>
      <w:r w:rsidR="00F6655F">
        <w:rPr>
          <w:rFonts w:eastAsia="Times New Roman"/>
          <w:lang w:val="es-ES"/>
        </w:rPr>
        <w:t>S</w:t>
      </w:r>
      <w:r w:rsidR="00A03EA6">
        <w:rPr>
          <w:rFonts w:eastAsia="Times New Roman"/>
          <w:lang w:val="es-ES"/>
        </w:rPr>
        <w:t>O</w:t>
      </w:r>
      <w:r w:rsidR="00A138BE">
        <w:rPr>
          <w:rFonts w:eastAsia="Times New Roman"/>
          <w:lang w:val="es-ES"/>
        </w:rPr>
        <w:t>)</w:t>
      </w:r>
      <w:r w:rsidRPr="00375366">
        <w:rPr>
          <w:rFonts w:eastAsia="Times New Roman"/>
          <w:lang w:val="es-ES"/>
        </w:rPr>
        <w:t xml:space="preserve"> para QCS o su nuevo certificador. QCS o el nuevo certificador realizan una revisión completa del </w:t>
      </w:r>
      <w:r w:rsidR="00A03EA6">
        <w:rPr>
          <w:rFonts w:eastAsia="Times New Roman"/>
          <w:lang w:val="es-ES"/>
        </w:rPr>
        <w:t>P</w:t>
      </w:r>
      <w:r w:rsidR="00F6655F">
        <w:rPr>
          <w:rFonts w:eastAsia="Times New Roman"/>
          <w:lang w:val="es-ES"/>
        </w:rPr>
        <w:t>S</w:t>
      </w:r>
      <w:r w:rsidR="00A03EA6">
        <w:rPr>
          <w:rFonts w:eastAsia="Times New Roman"/>
          <w:lang w:val="es-ES"/>
        </w:rPr>
        <w:t>O</w:t>
      </w:r>
      <w:r w:rsidRPr="00375366">
        <w:rPr>
          <w:rFonts w:eastAsia="Times New Roman"/>
          <w:lang w:val="es-ES"/>
        </w:rPr>
        <w:t xml:space="preserve"> del cliente y realizan una inspección para garantizar el cumplimiento de los estándares NOP u otros estándares aplicables</w:t>
      </w:r>
      <w:r w:rsidR="00F6306C" w:rsidRPr="007C02EB">
        <w:rPr>
          <w:rFonts w:eastAsia="Times New Roman" w:cs="Times New Roman"/>
          <w:vertAlign w:val="superscript"/>
        </w:rPr>
        <w:footnoteReference w:id="7"/>
      </w:r>
      <w:r w:rsidR="00BB1085">
        <w:rPr>
          <w:rFonts w:eastAsia="Times New Roman"/>
          <w:lang w:val="es-ES"/>
        </w:rPr>
        <w:t>.</w:t>
      </w:r>
    </w:p>
    <w:p w14:paraId="7BB3CD0A" w14:textId="108313F0" w:rsidR="00F6306C" w:rsidRPr="00072A68" w:rsidRDefault="227E1361" w:rsidP="00337BBD">
      <w:pPr>
        <w:spacing w:line="240" w:lineRule="auto"/>
        <w:rPr>
          <w:rFonts w:eastAsia="Times New Roman" w:cs="Times New Roman"/>
        </w:rPr>
      </w:pPr>
      <w:r w:rsidRPr="227E1361">
        <w:rPr>
          <w:rFonts w:eastAsia="Times New Roman"/>
        </w:rPr>
        <w:t xml:space="preserve">Las operaciones certificadas deben notificar a su certificador actual de su intención de certificarse con otro agente. Si una operación certificada solicita la certificación con un nuevo agente certificador, pero no mantiene o </w:t>
      </w:r>
      <w:r w:rsidR="00630359">
        <w:rPr>
          <w:rFonts w:eastAsia="Times New Roman"/>
        </w:rPr>
        <w:t>retira</w:t>
      </w:r>
      <w:r w:rsidR="00630359" w:rsidRPr="227E1361">
        <w:rPr>
          <w:rFonts w:eastAsia="Times New Roman"/>
        </w:rPr>
        <w:t xml:space="preserve"> </w:t>
      </w:r>
      <w:r w:rsidRPr="227E1361">
        <w:rPr>
          <w:rFonts w:eastAsia="Times New Roman"/>
        </w:rPr>
        <w:t>su certificación previa por escrito y el agente certificador anterior emite una notificación de incumplimiento o una acción adversa propuesta, la operación vinculada sigue estando sujeta al aviso de incumplimiento o acciones adversas propuestas al agente certificador anterior</w:t>
      </w:r>
      <w:r w:rsidRPr="227E1361">
        <w:rPr>
          <w:rFonts w:eastAsia="Times New Roman" w:cs="Times New Roman"/>
        </w:rPr>
        <w:t xml:space="preserve">. </w:t>
      </w:r>
    </w:p>
    <w:p w14:paraId="65C4D306" w14:textId="0E7B75FB" w:rsidR="00F6306C" w:rsidRPr="00EB0187" w:rsidRDefault="227E1361" w:rsidP="00337BBD">
      <w:pPr>
        <w:rPr>
          <w:rFonts w:eastAsia="Times New Roman"/>
          <w:lang w:val="es-ES"/>
        </w:rPr>
      </w:pPr>
      <w:r w:rsidRPr="227E1361">
        <w:rPr>
          <w:rFonts w:eastAsia="Times New Roman"/>
        </w:rPr>
        <w:t>Si el agente certificador anterior emite una notificación de suspensión o revocación por no renovar, pagar tarifas, presentar un P</w:t>
      </w:r>
      <w:r w:rsidR="00F6655F">
        <w:rPr>
          <w:rFonts w:eastAsia="Times New Roman"/>
        </w:rPr>
        <w:t>S</w:t>
      </w:r>
      <w:r w:rsidRPr="227E1361">
        <w:rPr>
          <w:rFonts w:eastAsia="Times New Roman"/>
        </w:rPr>
        <w:t>O actualizado o cualquier otro incumplimiento técnico o administrativo a las regulaciones de NOP, la operación certificada debe cesar inmediatamente la venta, el etiquetado y la representación de productos como orgánicos hasta que</w:t>
      </w:r>
      <w:r w:rsidR="00C2598D">
        <w:rPr>
          <w:rFonts w:eastAsia="Times New Roman"/>
        </w:rPr>
        <w:t xml:space="preserve"> </w:t>
      </w:r>
      <w:r w:rsidRPr="227E1361">
        <w:rPr>
          <w:rFonts w:eastAsia="Times New Roman"/>
        </w:rPr>
        <w:t xml:space="preserve">todos los incumplimientos </w:t>
      </w:r>
      <w:r w:rsidRPr="227E1361">
        <w:rPr>
          <w:rFonts w:ascii="Calibri" w:eastAsia="Calibri" w:hAnsi="Calibri" w:cs="Calibri"/>
        </w:rPr>
        <w:t>sean resueltos</w:t>
      </w:r>
      <w:r w:rsidRPr="227E1361">
        <w:rPr>
          <w:rFonts w:eastAsia="Times New Roman"/>
        </w:rPr>
        <w:t xml:space="preserve"> y se otorgue el restablecimiento por el NOP.</w:t>
      </w:r>
    </w:p>
    <w:p w14:paraId="2201ACC5" w14:textId="6D5FD323" w:rsidR="00F6306C" w:rsidRPr="006871B5" w:rsidRDefault="227E1361" w:rsidP="00337BBD">
      <w:pPr>
        <w:rPr>
          <w:rFonts w:eastAsia="Times New Roman"/>
          <w:lang w:val="es-ES"/>
        </w:rPr>
      </w:pPr>
      <w:r w:rsidRPr="227E1361">
        <w:rPr>
          <w:rFonts w:eastAsia="Times New Roman"/>
        </w:rPr>
        <w:t xml:space="preserve">Las operaciones certificadas que cambian </w:t>
      </w:r>
      <w:r w:rsidRPr="227E1361">
        <w:rPr>
          <w:rFonts w:ascii="Calibri" w:eastAsia="Calibri" w:hAnsi="Calibri" w:cs="Calibri"/>
        </w:rPr>
        <w:t>voluntariamente</w:t>
      </w:r>
      <w:r w:rsidRPr="227E1361">
        <w:rPr>
          <w:rFonts w:eastAsia="Times New Roman"/>
        </w:rPr>
        <w:t xml:space="preserve"> los agentes de certificación no pueden usar los suministros existentes de etiquetas que identifiquen a su agente de certificación anterior en los productos que producen o manejan.</w:t>
      </w:r>
    </w:p>
    <w:p w14:paraId="0329C186" w14:textId="71011BF7" w:rsidR="00F6306C" w:rsidRPr="00EF5228" w:rsidRDefault="227E1361" w:rsidP="00337BBD">
      <w:pPr>
        <w:rPr>
          <w:rFonts w:eastAsia="Times New Roman"/>
          <w:lang w:val="es-ES"/>
        </w:rPr>
      </w:pPr>
      <w:r w:rsidRPr="227E1361">
        <w:rPr>
          <w:rFonts w:eastAsia="Times New Roman"/>
        </w:rPr>
        <w:t xml:space="preserve">Para cambiar los agentes certificadores acreditados, una operación orgánica certificada debe: </w:t>
      </w:r>
    </w:p>
    <w:p w14:paraId="73F1DBF0" w14:textId="4304B8EC" w:rsidR="00587D57" w:rsidRPr="00987224" w:rsidRDefault="227E1361" w:rsidP="004B1571">
      <w:pPr>
        <w:pStyle w:val="ListParagraph"/>
        <w:numPr>
          <w:ilvl w:val="2"/>
          <w:numId w:val="8"/>
        </w:numPr>
        <w:contextualSpacing w:val="0"/>
        <w:rPr>
          <w:rFonts w:eastAsia="Times New Roman"/>
          <w:lang w:val="es-ES"/>
        </w:rPr>
      </w:pPr>
      <w:r w:rsidRPr="227E1361">
        <w:rPr>
          <w:rFonts w:eastAsia="Times New Roman"/>
        </w:rPr>
        <w:t>Presentar una solicitud de certificación y un P</w:t>
      </w:r>
      <w:r w:rsidR="00F6655F">
        <w:rPr>
          <w:rFonts w:eastAsia="Times New Roman"/>
        </w:rPr>
        <w:t>S</w:t>
      </w:r>
      <w:r w:rsidRPr="227E1361">
        <w:rPr>
          <w:rFonts w:eastAsia="Times New Roman"/>
        </w:rPr>
        <w:t xml:space="preserve">O completo a QCS u otro agente certificador como nuevo solicitante; </w:t>
      </w:r>
    </w:p>
    <w:p w14:paraId="612A7C4F" w14:textId="77777777" w:rsidR="00CE0EEC" w:rsidRPr="00CE0EEC" w:rsidRDefault="227E1361" w:rsidP="00CE0EEC">
      <w:pPr>
        <w:pStyle w:val="ListParagraph"/>
        <w:numPr>
          <w:ilvl w:val="2"/>
          <w:numId w:val="8"/>
        </w:numPr>
        <w:contextualSpacing w:val="0"/>
        <w:rPr>
          <w:rFonts w:eastAsia="Times New Roman"/>
          <w:lang w:val="es-ES"/>
        </w:rPr>
      </w:pPr>
      <w:r w:rsidRPr="227E1361">
        <w:rPr>
          <w:rFonts w:eastAsia="Times New Roman"/>
        </w:rPr>
        <w:t>Pagar tarifas a QCS o al nuevo agente certificador.</w:t>
      </w:r>
    </w:p>
    <w:p w14:paraId="46C09FD0" w14:textId="77777777" w:rsidR="00CE0EEC" w:rsidRPr="00CE0EEC" w:rsidRDefault="00467C83" w:rsidP="00CE0EEC">
      <w:pPr>
        <w:pStyle w:val="ListParagraph"/>
        <w:numPr>
          <w:ilvl w:val="2"/>
          <w:numId w:val="8"/>
        </w:numPr>
        <w:contextualSpacing w:val="0"/>
        <w:rPr>
          <w:rFonts w:eastAsia="Times New Roman"/>
          <w:lang w:val="es-ES"/>
        </w:rPr>
      </w:pPr>
      <w:r w:rsidRPr="00CE0EEC">
        <w:rPr>
          <w:rFonts w:eastAsia="Times New Roman"/>
        </w:rPr>
        <w:t>Enviar</w:t>
      </w:r>
      <w:r w:rsidR="227E1361" w:rsidRPr="00CE0EEC">
        <w:rPr>
          <w:rFonts w:eastAsia="Times New Roman"/>
        </w:rPr>
        <w:t xml:space="preserve"> a QCS o al nuevo agente certificador información sobre el estado de certificación actual del operador, incluidas las notificaciones pendientes de incumplimiento o las acciones adversas propuestas pendientes. La certificación no puede continuar hasta que se resuelvan los avisos </w:t>
      </w:r>
      <w:r w:rsidR="227E1361" w:rsidRPr="00CE0EEC">
        <w:rPr>
          <w:rFonts w:eastAsia="Times New Roman"/>
        </w:rPr>
        <w:lastRenderedPageBreak/>
        <w:t xml:space="preserve">pendientes y las acciones adversas propuestas y el NOP haya emitido la elegibilidad para el restablecimiento, según sea necesario. </w:t>
      </w:r>
    </w:p>
    <w:p w14:paraId="6512EDDE" w14:textId="223C3E88" w:rsidR="00CE0EEC" w:rsidRPr="00CE0EEC" w:rsidRDefault="227E1361" w:rsidP="00CE0EEC">
      <w:pPr>
        <w:pStyle w:val="ListParagraph"/>
        <w:numPr>
          <w:ilvl w:val="2"/>
          <w:numId w:val="8"/>
        </w:numPr>
        <w:contextualSpacing w:val="0"/>
        <w:rPr>
          <w:rFonts w:eastAsia="Times New Roman"/>
          <w:lang w:val="es-ES"/>
        </w:rPr>
      </w:pPr>
      <w:r w:rsidRPr="00CE0EEC">
        <w:rPr>
          <w:rFonts w:eastAsia="Times New Roman"/>
        </w:rPr>
        <w:t>Las operaciones deben mantener su certificación actual, incluido el envío de actualizaciones anuales, permitir inspecciones oportunas y el pago de todas las tarifas requeridas a su agente certificador actual hasta que se complete el proceso de certificación con el nuevo agente certificador y se haya emitido un nuevo certificado si continúan produciendo o vendiendo productos como orgánicos; y</w:t>
      </w:r>
    </w:p>
    <w:p w14:paraId="242CFE67" w14:textId="58844333" w:rsidR="00F6306C" w:rsidRPr="00CE0EEC" w:rsidRDefault="227E1361" w:rsidP="00CE0EEC">
      <w:pPr>
        <w:pStyle w:val="ListParagraph"/>
        <w:numPr>
          <w:ilvl w:val="2"/>
          <w:numId w:val="8"/>
        </w:numPr>
        <w:contextualSpacing w:val="0"/>
        <w:rPr>
          <w:rFonts w:eastAsia="Times New Roman"/>
          <w:lang w:val="es-ES"/>
        </w:rPr>
      </w:pPr>
      <w:r w:rsidRPr="00CE0EEC">
        <w:rPr>
          <w:rFonts w:eastAsia="Times New Roman"/>
        </w:rPr>
        <w:t xml:space="preserve">Las operaciones deben devolver su certificado anterior junto con un aviso escrito de renuncia a su agente certificador anterior o a QCS solo después de que se complete el nuevo proceso de certificación. </w:t>
      </w:r>
    </w:p>
    <w:p w14:paraId="4654DC6F" w14:textId="4A638537" w:rsidR="00F6306C" w:rsidRPr="004E4504" w:rsidRDefault="227E1361" w:rsidP="00F62968">
      <w:pPr>
        <w:pStyle w:val="Heading3"/>
        <w:rPr>
          <w:b w:val="0"/>
          <w:lang w:val="es-ES"/>
        </w:rPr>
      </w:pPr>
      <w:r w:rsidRPr="227E1361">
        <w:t>Transferencia de Certificación a otras Agencias de Certificación</w:t>
      </w:r>
    </w:p>
    <w:p w14:paraId="4099787F" w14:textId="10483A0F" w:rsidR="00F6306C" w:rsidRPr="003C4EB0" w:rsidRDefault="007864E3" w:rsidP="00F62968">
      <w:pPr>
        <w:pStyle w:val="Heading4"/>
        <w:rPr>
          <w:lang w:val="es-ES"/>
        </w:rPr>
      </w:pPr>
      <w:r w:rsidRPr="227E1361">
        <w:rPr>
          <w:lang w:val="es-ES"/>
        </w:rPr>
        <w:t>Requisitos de Certificación del Reglamento (</w:t>
      </w:r>
      <w:r w:rsidR="00A24C2A">
        <w:rPr>
          <w:lang w:val="es-ES"/>
        </w:rPr>
        <w:t>UE</w:t>
      </w:r>
      <w:r w:rsidR="00F6306C" w:rsidRPr="227E1361">
        <w:rPr>
          <w:lang w:val="es-ES"/>
        </w:rPr>
        <w:t>) 2018/848</w:t>
      </w:r>
      <w:r w:rsidR="00B53753" w:rsidRPr="227E1361">
        <w:rPr>
          <w:lang w:val="es-ES"/>
        </w:rPr>
        <w:t>,</w:t>
      </w:r>
      <w:r w:rsidR="00F6306C" w:rsidRPr="227E1361">
        <w:rPr>
          <w:lang w:val="es-ES"/>
        </w:rPr>
        <w:t xml:space="preserve"> Régimen Orgánico de Canadá y </w:t>
      </w:r>
      <w:r w:rsidR="003C4EB0" w:rsidRPr="227E1361">
        <w:rPr>
          <w:noProof/>
          <w:lang w:val="es-ES"/>
        </w:rPr>
        <w:t>otras afirmaciones de mercad</w:t>
      </w:r>
      <w:r w:rsidR="00016A69" w:rsidRPr="227E1361">
        <w:rPr>
          <w:noProof/>
          <w:lang w:val="es-ES"/>
        </w:rPr>
        <w:t>e</w:t>
      </w:r>
      <w:r w:rsidR="003C4EB0" w:rsidRPr="227E1361">
        <w:rPr>
          <w:noProof/>
          <w:lang w:val="es-ES"/>
        </w:rPr>
        <w:t>o</w:t>
      </w:r>
    </w:p>
    <w:p w14:paraId="5AB088BC" w14:textId="7335BC1F" w:rsidR="00F6306C" w:rsidRPr="00016A69" w:rsidRDefault="227E1361" w:rsidP="00337BBD">
      <w:pPr>
        <w:rPr>
          <w:rFonts w:eastAsia="Calibri"/>
          <w:lang w:val="es-ES"/>
        </w:rPr>
      </w:pPr>
      <w:r w:rsidRPr="227E1361">
        <w:rPr>
          <w:rFonts w:eastAsia="Calibri"/>
        </w:rPr>
        <w:t xml:space="preserve">Si una operación certificada desea transferir su certificación </w:t>
      </w:r>
      <w:r w:rsidR="002805FD">
        <w:rPr>
          <w:rFonts w:eastAsia="Calibri"/>
        </w:rPr>
        <w:t>c</w:t>
      </w:r>
      <w:r w:rsidRPr="227E1361">
        <w:rPr>
          <w:rFonts w:eastAsia="Calibri"/>
        </w:rPr>
        <w:t>anad</w:t>
      </w:r>
      <w:r w:rsidR="002805FD">
        <w:rPr>
          <w:rFonts w:eastAsia="Calibri"/>
        </w:rPr>
        <w:t>iense</w:t>
      </w:r>
      <w:r w:rsidRPr="227E1361">
        <w:rPr>
          <w:rFonts w:eastAsia="Calibri"/>
        </w:rPr>
        <w:t xml:space="preserve"> y / o de la UE, o cualquier otra afirmación de mercadeo de QCS a otra agencia de certificación o de otra agencia de certificación a QCS, la operación debe:</w:t>
      </w:r>
    </w:p>
    <w:p w14:paraId="142760A0" w14:textId="0488C129" w:rsidR="00F6306C" w:rsidRPr="0070501D" w:rsidRDefault="227E1361" w:rsidP="002735CF">
      <w:pPr>
        <w:pStyle w:val="ListParagraph"/>
        <w:numPr>
          <w:ilvl w:val="0"/>
          <w:numId w:val="20"/>
        </w:numPr>
        <w:contextualSpacing w:val="0"/>
        <w:rPr>
          <w:rFonts w:eastAsia="Times New Roman"/>
          <w:lang w:val="es-ES"/>
        </w:rPr>
      </w:pPr>
      <w:r w:rsidRPr="227E1361">
        <w:rPr>
          <w:rFonts w:eastAsia="Times New Roman"/>
        </w:rPr>
        <w:t>Presentar una solicitud de certificación y complete un P</w:t>
      </w:r>
      <w:r w:rsidR="00F6655F">
        <w:rPr>
          <w:rFonts w:eastAsia="Times New Roman"/>
        </w:rPr>
        <w:t>S</w:t>
      </w:r>
      <w:r w:rsidRPr="227E1361">
        <w:rPr>
          <w:rFonts w:eastAsia="Times New Roman"/>
        </w:rPr>
        <w:t>O como nuevo solicitante y notificar a su agencia de certificación actual su intención de cambiar de agencia de certificación.</w:t>
      </w:r>
    </w:p>
    <w:p w14:paraId="45B2A56E" w14:textId="34B27EB5" w:rsidR="00587D57" w:rsidRPr="00F92550" w:rsidRDefault="227E1361" w:rsidP="002735CF">
      <w:pPr>
        <w:pStyle w:val="ListParagraph"/>
        <w:numPr>
          <w:ilvl w:val="0"/>
          <w:numId w:val="20"/>
        </w:numPr>
        <w:contextualSpacing w:val="0"/>
        <w:rPr>
          <w:rFonts w:eastAsia="Times New Roman"/>
          <w:lang w:val="es-ES"/>
        </w:rPr>
      </w:pPr>
      <w:r w:rsidRPr="227E1361">
        <w:rPr>
          <w:rFonts w:eastAsia="Times New Roman"/>
        </w:rPr>
        <w:t>Pagar tarifas a QCS, según corresponda.</w:t>
      </w:r>
    </w:p>
    <w:p w14:paraId="7181357D" w14:textId="09ACA98B" w:rsidR="00F535CE" w:rsidRPr="00FE7F19" w:rsidRDefault="227E1361" w:rsidP="002735CF">
      <w:pPr>
        <w:pStyle w:val="ListParagraph"/>
        <w:numPr>
          <w:ilvl w:val="0"/>
          <w:numId w:val="20"/>
        </w:numPr>
        <w:spacing w:line="240" w:lineRule="auto"/>
        <w:contextualSpacing w:val="0"/>
        <w:rPr>
          <w:rFonts w:eastAsia="Calibri"/>
        </w:rPr>
      </w:pPr>
      <w:r w:rsidRPr="227E1361">
        <w:rPr>
          <w:rFonts w:eastAsia="Times New Roman"/>
        </w:rPr>
        <w:t>Comprenda que QCS solicita información tanto de la(s) agencia(s) de certificación solicitante(s), como a los organismos reguladores relevantes (es decir, CFIA, UE) con respecto al estado de certificación actual del operador, incluyendo cualquier incumplimiento menor, condiciones de ce</w:t>
      </w:r>
      <w:r w:rsidRPr="00FE7F19">
        <w:t xml:space="preserve">rtificaciones y / o negaciones de solicitudes, avisos pendientes de incumplimiento o acciones adversas o el cumplimiento del Contrato de Certificación y Licencia de Marca QCS. </w:t>
      </w:r>
      <w:r w:rsidRPr="00FE7F19">
        <w:rPr>
          <w:lang w:val="es"/>
        </w:rPr>
        <w:t>El organismo de control anterior deberá transferir el archivo de control del operador o grupo de operadores al nuevo organismo de control dentro de 30 días. Si es aplicable, la certificación no puede proceder hasta que se resuelvan los incumplimientos pendientes</w:t>
      </w:r>
      <w:r w:rsidRPr="00FE7F19">
        <w:t xml:space="preserve">. </w:t>
      </w:r>
    </w:p>
    <w:p w14:paraId="04EDF606" w14:textId="4B055211" w:rsidR="00F535CE" w:rsidRPr="001C7914" w:rsidRDefault="227E1361" w:rsidP="002735CF">
      <w:pPr>
        <w:pStyle w:val="ListParagraph"/>
        <w:numPr>
          <w:ilvl w:val="0"/>
          <w:numId w:val="20"/>
        </w:numPr>
        <w:contextualSpacing w:val="0"/>
        <w:rPr>
          <w:rFonts w:eastAsia="Times New Roman"/>
          <w:lang w:val="es-ES"/>
        </w:rPr>
      </w:pPr>
      <w:r w:rsidRPr="00FE7F19">
        <w:t>La primera inspección in situ, realizada</w:t>
      </w:r>
      <w:r w:rsidRPr="227E1361">
        <w:rPr>
          <w:rFonts w:eastAsia="Calibri"/>
        </w:rPr>
        <w:t xml:space="preserve"> por el QCS, se utiliza en parte para verificar si las no conformidades anteriores se han resuelto y realizado de acuerdo con el Tercer Paso: Inspección.</w:t>
      </w:r>
    </w:p>
    <w:p w14:paraId="0F37178F" w14:textId="508597F8" w:rsidR="004942D1" w:rsidRPr="00FB139B" w:rsidRDefault="227E1361" w:rsidP="002735CF">
      <w:pPr>
        <w:pStyle w:val="ListParagraph"/>
        <w:numPr>
          <w:ilvl w:val="0"/>
          <w:numId w:val="20"/>
        </w:numPr>
        <w:contextualSpacing w:val="0"/>
        <w:rPr>
          <w:rFonts w:eastAsia="Times New Roman"/>
          <w:lang w:val="es-ES"/>
        </w:rPr>
      </w:pPr>
      <w:r w:rsidRPr="227E1361">
        <w:rPr>
          <w:rFonts w:eastAsia="Calibri"/>
        </w:rPr>
        <w:t xml:space="preserve">Comprenda que la certificación otorgada previamente por QCS o el antiguo agente de certificación sigue siendo válida, hasta que el nuevo agente certificador emita un nuevo certificado con su nombre al operador, o hasta una fecha que no puede exceder los 12 meses desde la fecha de emisión del certificado más reciente, lo que ocurra primero. </w:t>
      </w:r>
    </w:p>
    <w:p w14:paraId="3803F02A" w14:textId="78371730" w:rsidR="00B014FD" w:rsidRPr="00F951C1" w:rsidRDefault="227E1361" w:rsidP="002735CF">
      <w:pPr>
        <w:pStyle w:val="ListParagraph"/>
        <w:numPr>
          <w:ilvl w:val="0"/>
          <w:numId w:val="20"/>
        </w:numPr>
        <w:contextualSpacing w:val="0"/>
        <w:rPr>
          <w:rFonts w:eastAsia="Times New Roman"/>
          <w:lang w:val="es-ES"/>
        </w:rPr>
      </w:pPr>
      <w:r w:rsidRPr="227E1361">
        <w:rPr>
          <w:rFonts w:eastAsia="Times New Roman"/>
          <w:color w:val="000000" w:themeColor="text1"/>
        </w:rPr>
        <w:t>QCS requiere que el operador devuelva cualquier documento que confirme la certificación orgánica (como certificados y atestaciones) que QCS emitió previamente a este operador. Los operadores no pueden utilizar los suministros de etiquetas existentes que identifican el agente certificador (AC) anterior en los productos que se producen desde el momento en que el operador recibe el nuevo certificado. Las nuevas etiquetas que identifiquen el nuevo AC deben usarse a la vez; excepto que el operador pueda vender productos pre-empacados certificados etiquetados con el nombre del AC anterior siempre que estos productos se hayan empaquetado antes del cambio del AC y se haya proporcionado una lista de inventario a ambos AC</w:t>
      </w:r>
      <w:r w:rsidRPr="227E1361">
        <w:rPr>
          <w:rFonts w:eastAsia="Times New Roman"/>
        </w:rPr>
        <w:t>.</w:t>
      </w:r>
      <w:r w:rsidR="00C2598D">
        <w:rPr>
          <w:rFonts w:eastAsia="Times New Roman"/>
        </w:rPr>
        <w:t xml:space="preserve"> </w:t>
      </w:r>
    </w:p>
    <w:p w14:paraId="54D41665" w14:textId="5B977B3C" w:rsidR="00E149FC" w:rsidRPr="00F951C1" w:rsidRDefault="227E1361" w:rsidP="00DC03DC">
      <w:pPr>
        <w:rPr>
          <w:rFonts w:eastAsia="Times New Roman"/>
          <w:color w:val="000000" w:themeColor="text1"/>
          <w:lang w:val="es-ES"/>
        </w:rPr>
      </w:pPr>
      <w:r w:rsidRPr="227E1361">
        <w:rPr>
          <w:rFonts w:eastAsia="Times New Roman" w:cs="Times New Roman"/>
          <w:color w:val="000000" w:themeColor="text1"/>
        </w:rPr>
        <w:lastRenderedPageBreak/>
        <w:t>En los casos en que los operadores se transfieran de QCS a otra agencia de certificación, se aplicarán los criterios anteriores, y tan pronto como QCS sea informado de la emisión de un certificado por el nuevo organismo de certificación, QCS notifica al operador que ha rescindido del acuerdo de certificación que tiene con el operador y que QCS ya no supervisará el cumplimiento de la operación. QCS también informa la cancelación en un informe mensual a la CFIA como una "cancelación debido a un cambio de AC".</w:t>
      </w:r>
    </w:p>
    <w:p w14:paraId="1590C9E1" w14:textId="2216D75C" w:rsidR="00CF204E" w:rsidRPr="007548A3" w:rsidRDefault="227E1361" w:rsidP="00F62968">
      <w:pPr>
        <w:pStyle w:val="Heading2"/>
        <w:rPr>
          <w:lang w:val="es-ES"/>
        </w:rPr>
      </w:pPr>
      <w:bookmarkStart w:id="61" w:name="_Toc424898866"/>
      <w:bookmarkStart w:id="62" w:name="_Toc424899258"/>
      <w:bookmarkStart w:id="63" w:name="_Toc500935043"/>
      <w:r w:rsidRPr="227E1361">
        <w:rPr>
          <w:rFonts w:eastAsia="Tahoma,Times New Roman"/>
        </w:rPr>
        <w:t>SEGUNDO PASO</w:t>
      </w:r>
      <w:r w:rsidR="00074EC4">
        <w:tab/>
      </w:r>
      <w:r w:rsidRPr="227E1361">
        <w:t>Revisión de la Solicitud</w:t>
      </w:r>
      <w:bookmarkEnd w:id="61"/>
      <w:bookmarkEnd w:id="62"/>
      <w:bookmarkEnd w:id="63"/>
    </w:p>
    <w:p w14:paraId="7045BB27" w14:textId="1A7A8A37" w:rsidR="00D57983" w:rsidRPr="007548A3" w:rsidRDefault="227E1361" w:rsidP="00337BBD">
      <w:pPr>
        <w:rPr>
          <w:rFonts w:eastAsia="Times New Roman"/>
          <w:lang w:val="es-ES"/>
        </w:rPr>
      </w:pPr>
      <w:r w:rsidRPr="227E1361">
        <w:rPr>
          <w:rFonts w:eastAsia="Times New Roman"/>
        </w:rPr>
        <w:t>QCS solo acepta solicitudes para las cuales QCS tiene la competencia y la capacidad para realizar la actividad de certificación, consulte la Sección 04 Alcances de la Certificación.</w:t>
      </w:r>
    </w:p>
    <w:p w14:paraId="6E9D814C" w14:textId="4827A3B0" w:rsidR="00CF204E" w:rsidRPr="007548A3" w:rsidRDefault="227E1361" w:rsidP="00337BBD">
      <w:pPr>
        <w:rPr>
          <w:rFonts w:eastAsia="Times New Roman"/>
          <w:lang w:val="es-ES"/>
        </w:rPr>
      </w:pPr>
      <w:r w:rsidRPr="227E1361">
        <w:rPr>
          <w:rFonts w:eastAsia="Times New Roman"/>
        </w:rPr>
        <w:t xml:space="preserve">Una vez que QCS recibe la solicitud, hay un plazo aproximado de cuatro meses para la revisión, inspección y decisión de certificación. El tiempo exacto varía según la integridad de la solicitud, la capacidad de respuesta del solicitante a las solicitudes de más información y la disponibilidad del inspector. Cada solicitud es revisada por un Revisor de Certificación para garantizar su integridad y determinar si el solicitante parece cumplir o puede cumplir con el NOP y las normas adicionales requeridas para la exportación u otros programas. Además, QCS garantiza su capacidad para realizar los servicios de certificación con respecto al alcance de la certificación solicitada, la ubicación de la operación y cualquier requisito especial, como el idioma utilizado por el solicitante. </w:t>
      </w:r>
    </w:p>
    <w:p w14:paraId="6E099247" w14:textId="2E4CE60F" w:rsidR="00775063" w:rsidRPr="0060451F" w:rsidRDefault="227E1361" w:rsidP="00337BBD">
      <w:pPr>
        <w:rPr>
          <w:rFonts w:eastAsia="Times New Roman"/>
          <w:lang w:val="es-ES"/>
        </w:rPr>
      </w:pPr>
      <w:r w:rsidRPr="227E1361">
        <w:rPr>
          <w:rFonts w:eastAsia="Times New Roman"/>
        </w:rPr>
        <w:t xml:space="preserve">El personal de certificación verifica que un solicitante que haya solicitado previamente a otra agencia de certificación y haya recibido una notificación de incumplimiento, suspensión, revocación o denegación de la certificación ha presentado documentación para respaldar la corrección de cualquier incumplimiento identificado por la notificación de incumplimiento o denegación de certificación. QCS trata cualquier solicitud que incluya una Notificación de incumplimiento o un Notificación de denegación de certificación como un nuevo solicitante. </w:t>
      </w:r>
    </w:p>
    <w:p w14:paraId="552FB0A9" w14:textId="6A776D71" w:rsidR="00CD3E06" w:rsidRPr="0014741C" w:rsidRDefault="0014741C" w:rsidP="00337BBD">
      <w:pPr>
        <w:spacing w:line="240" w:lineRule="auto"/>
        <w:jc w:val="left"/>
        <w:rPr>
          <w:rFonts w:eastAsia="Times New Roman"/>
        </w:rPr>
      </w:pPr>
      <w:r w:rsidRPr="0014741C">
        <w:rPr>
          <w:rFonts w:eastAsia="Times New Roman"/>
          <w:lang w:val="es-ES"/>
        </w:rPr>
        <w:t xml:space="preserve">Si a un solicitante de NOP previamente ha tenido su certificación suspendida o revocada, la operación debe presentar una solicitud al </w:t>
      </w:r>
      <w:proofErr w:type="gramStart"/>
      <w:r w:rsidRPr="0014741C">
        <w:rPr>
          <w:rFonts w:eastAsia="Times New Roman"/>
          <w:lang w:val="es-ES"/>
        </w:rPr>
        <w:t>Secretario</w:t>
      </w:r>
      <w:proofErr w:type="gramEnd"/>
      <w:r w:rsidRPr="0014741C">
        <w:rPr>
          <w:rFonts w:eastAsia="Times New Roman"/>
          <w:lang w:val="es-ES"/>
        </w:rPr>
        <w:t xml:space="preserve"> para el restablecimiento su certificación acompañada de evidencia que demuestre la corrección de cada incumplimiento y las medidas correctivas tomadas para cumplir y seguir cumpliendo con </w:t>
      </w:r>
      <w:r w:rsidR="227E1361" w:rsidRPr="227E1361">
        <w:rPr>
          <w:rFonts w:eastAsia="Times New Roman"/>
        </w:rPr>
        <w:t xml:space="preserve">las Regulaciones Orgánicas del </w:t>
      </w:r>
      <w:r w:rsidR="227E1361" w:rsidRPr="00077910">
        <w:rPr>
          <w:rFonts w:eastAsia="Times New Roman" w:cstheme="minorHAnsi"/>
        </w:rPr>
        <w:t>USDA</w:t>
      </w:r>
      <w:r w:rsidR="00CD3E06" w:rsidRPr="00077910">
        <w:rPr>
          <w:rStyle w:val="FootnoteReference"/>
          <w:rFonts w:asciiTheme="minorHAnsi" w:eastAsia="Times New Roman" w:hAnsiTheme="minorHAnsi" w:cstheme="minorHAnsi"/>
        </w:rPr>
        <w:footnoteReference w:id="8"/>
      </w:r>
      <w:r w:rsidR="00077910" w:rsidRPr="00077910">
        <w:rPr>
          <w:rFonts w:eastAsia="Times New Roman" w:cstheme="minorHAnsi"/>
        </w:rPr>
        <w:t>.</w:t>
      </w:r>
    </w:p>
    <w:p w14:paraId="0D3C61BE" w14:textId="521AF0A9" w:rsidR="00CF204E" w:rsidRPr="0014741C" w:rsidRDefault="227E1361" w:rsidP="00337BBD">
      <w:pPr>
        <w:rPr>
          <w:rFonts w:eastAsia="Times New Roman"/>
          <w:lang w:val="es-ES"/>
        </w:rPr>
      </w:pPr>
      <w:r w:rsidRPr="227E1361">
        <w:rPr>
          <w:rFonts w:eastAsia="Times New Roman"/>
        </w:rPr>
        <w:t xml:space="preserve">Los solicitantes son notificados de la recepción de su solicitud y se les informa de las medidas que puedan ser necesarias para completar la solicitud. Esto brinda a QCS y al solicitante la oportunidad de definir, documentar y comprender claramente los requisitos para la certificación, y de resolver cualquier diferencia de entendimiento entre QCS y el solicitante antes de la asignación de la inspección inicial. </w:t>
      </w:r>
    </w:p>
    <w:p w14:paraId="6CD302F9" w14:textId="5D590DD4" w:rsidR="00CF204E" w:rsidRPr="008522C8" w:rsidRDefault="227E1361" w:rsidP="00337BBD">
      <w:pPr>
        <w:rPr>
          <w:rFonts w:eastAsia="Calibri"/>
          <w:lang w:val="es-ES"/>
        </w:rPr>
      </w:pPr>
      <w:r w:rsidRPr="227E1361">
        <w:rPr>
          <w:rFonts w:eastAsia="Calibri"/>
        </w:rPr>
        <w:t>Los elementos clave para una revisión completa incluyen:</w:t>
      </w:r>
    </w:p>
    <w:p w14:paraId="7625EA83" w14:textId="4E95656F" w:rsidR="00CF204E" w:rsidRPr="005006FA" w:rsidRDefault="227E1361" w:rsidP="002735CF">
      <w:pPr>
        <w:pStyle w:val="ListParagraph"/>
        <w:numPr>
          <w:ilvl w:val="0"/>
          <w:numId w:val="30"/>
        </w:numPr>
        <w:ind w:left="360"/>
        <w:rPr>
          <w:rFonts w:eastAsia="Calibri"/>
          <w:lang w:val="es-ES"/>
        </w:rPr>
      </w:pPr>
      <w:r w:rsidRPr="227E1361">
        <w:rPr>
          <w:rFonts w:eastAsia="Calibri"/>
        </w:rPr>
        <w:t xml:space="preserve">Solicitud completa del </w:t>
      </w:r>
      <w:r w:rsidR="00C04921">
        <w:rPr>
          <w:rFonts w:eastAsia="Calibri"/>
        </w:rPr>
        <w:t xml:space="preserve">Plan de </w:t>
      </w:r>
      <w:r w:rsidR="00900D5A">
        <w:rPr>
          <w:rFonts w:eastAsia="Calibri"/>
        </w:rPr>
        <w:t>S</w:t>
      </w:r>
      <w:r w:rsidR="00C04921">
        <w:rPr>
          <w:rFonts w:eastAsia="Calibri"/>
        </w:rPr>
        <w:t xml:space="preserve">istema </w:t>
      </w:r>
      <w:r w:rsidR="00900D5A">
        <w:rPr>
          <w:rFonts w:eastAsia="Calibri"/>
        </w:rPr>
        <w:t>O</w:t>
      </w:r>
      <w:r w:rsidR="00C04921">
        <w:rPr>
          <w:rFonts w:eastAsia="Calibri"/>
        </w:rPr>
        <w:t>rgánico</w:t>
      </w:r>
      <w:r w:rsidRPr="227E1361">
        <w:rPr>
          <w:rFonts w:eastAsia="Calibri"/>
        </w:rPr>
        <w:t>;</w:t>
      </w:r>
    </w:p>
    <w:p w14:paraId="27A29EB3" w14:textId="56C5D317" w:rsidR="00CD3E06" w:rsidRPr="005006FA" w:rsidRDefault="227E1361" w:rsidP="002735CF">
      <w:pPr>
        <w:pStyle w:val="ListParagraph"/>
        <w:numPr>
          <w:ilvl w:val="0"/>
          <w:numId w:val="30"/>
        </w:numPr>
        <w:ind w:left="360"/>
        <w:rPr>
          <w:rFonts w:eastAsia="Calibri"/>
          <w:lang w:val="es-ES"/>
        </w:rPr>
      </w:pPr>
      <w:r w:rsidRPr="227E1361">
        <w:rPr>
          <w:rFonts w:eastAsia="Calibri"/>
        </w:rPr>
        <w:t>Contrato firmado de Certificación y Licencia de Marca;</w:t>
      </w:r>
    </w:p>
    <w:p w14:paraId="164B0035" w14:textId="3EFD506C" w:rsidR="00120AFF" w:rsidRPr="00AF4263" w:rsidRDefault="227E1361" w:rsidP="002735CF">
      <w:pPr>
        <w:pStyle w:val="ListParagraph"/>
        <w:numPr>
          <w:ilvl w:val="0"/>
          <w:numId w:val="30"/>
        </w:numPr>
        <w:ind w:left="360"/>
        <w:rPr>
          <w:rFonts w:eastAsia="Calibri"/>
          <w:lang w:val="es-ES"/>
        </w:rPr>
      </w:pPr>
      <w:r w:rsidRPr="227E1361">
        <w:rPr>
          <w:rFonts w:eastAsia="Calibri"/>
        </w:rPr>
        <w:t>Información de apoyo para la solicitud/P</w:t>
      </w:r>
      <w:r w:rsidR="00F6655F">
        <w:rPr>
          <w:rFonts w:eastAsia="Calibri"/>
        </w:rPr>
        <w:t>S</w:t>
      </w:r>
      <w:r w:rsidRPr="227E1361">
        <w:rPr>
          <w:rFonts w:eastAsia="Calibri"/>
        </w:rPr>
        <w:t>O (es decir, mapa de la granja y las instalaciones, perfiles de productos orgánicos, lista de insumos de producción, etc.)</w:t>
      </w:r>
    </w:p>
    <w:p w14:paraId="6837C590" w14:textId="0263ABDC" w:rsidR="00CF204E" w:rsidRPr="00120AFF" w:rsidRDefault="227E1361" w:rsidP="002735CF">
      <w:pPr>
        <w:pStyle w:val="ListParagraph"/>
        <w:numPr>
          <w:ilvl w:val="0"/>
          <w:numId w:val="30"/>
        </w:numPr>
        <w:ind w:left="360"/>
        <w:rPr>
          <w:rFonts w:eastAsia="Calibri"/>
          <w:lang w:val="es-ES"/>
        </w:rPr>
      </w:pPr>
      <w:r w:rsidRPr="227E1361">
        <w:rPr>
          <w:rFonts w:eastAsia="Calibri"/>
        </w:rPr>
        <w:t>El nombre de la persona que completa la solicitud, el nombre comercial, la dirección y el número de teléfono del solicitante; y cuando el solicitante es una corporación, el nombre, la dirección y el número de teléfono de la persona autorizada para actuar en nombre del solicitante;</w:t>
      </w:r>
    </w:p>
    <w:p w14:paraId="3EA322AB" w14:textId="32B60400" w:rsidR="00CF204E" w:rsidRPr="00120AFF" w:rsidRDefault="227E1361" w:rsidP="002735CF">
      <w:pPr>
        <w:pStyle w:val="ListParagraph"/>
        <w:numPr>
          <w:ilvl w:val="0"/>
          <w:numId w:val="30"/>
        </w:numPr>
        <w:ind w:left="360"/>
        <w:rPr>
          <w:rFonts w:eastAsia="Calibri"/>
          <w:lang w:val="es-ES"/>
        </w:rPr>
      </w:pPr>
      <w:r w:rsidRPr="227E1361">
        <w:rPr>
          <w:rFonts w:eastAsia="Calibri"/>
        </w:rPr>
        <w:lastRenderedPageBreak/>
        <w:t>Los nombre(s) de cualquier agente(s) certificador(es) orgánico(s) al que se haya enviado previamente la solicitud; los años de solicitud; el resultado de la presentación de la(s) solicitud(es), incluyendo cuando esté disponible una copia de cualquier notificación de incumplimiento(s) o denegación de la certificación emitida al solicitante, y una descripción de las acciones tomadas por el solicitante para corregir el incumplimiento(s) señalado(s) en la notificación de incumplimiento, incluyendo pruebas de dicha corrección.</w:t>
      </w:r>
    </w:p>
    <w:p w14:paraId="1375CF8B" w14:textId="0DFAF856" w:rsidR="00775063" w:rsidRPr="009768C8" w:rsidRDefault="227E1361" w:rsidP="002735CF">
      <w:pPr>
        <w:pStyle w:val="ListParagraph"/>
        <w:numPr>
          <w:ilvl w:val="0"/>
          <w:numId w:val="30"/>
        </w:numPr>
        <w:ind w:left="360"/>
        <w:rPr>
          <w:rFonts w:eastAsia="Calibri"/>
          <w:lang w:val="es-ES"/>
        </w:rPr>
      </w:pPr>
      <w:r w:rsidRPr="227E1361">
        <w:rPr>
          <w:rFonts w:eastAsia="Calibri"/>
        </w:rPr>
        <w:t xml:space="preserve">Cualquier otra información necesaria para determinar el cumplimiento de las normas relevantes. Las solicitudes sin firmas, incompletas o carentes de integridad (es decir, la evidencia puede confirmarse, las fechas son apropiadas, la información suministrada es respaldada por la autoridad), pueden ser devueltas al solicitante, y es posible que se requiera una tarifa de franqueo y manejo correspondiente para el reenvío de la solicitud. </w:t>
      </w:r>
    </w:p>
    <w:p w14:paraId="3E3E1371" w14:textId="2F477421" w:rsidR="00775063" w:rsidRDefault="227E1361" w:rsidP="00337BBD">
      <w:pPr>
        <w:rPr>
          <w:rFonts w:eastAsia="Calibri"/>
          <w:lang w:val="es-ES"/>
        </w:rPr>
      </w:pPr>
      <w:r w:rsidRPr="227E1361">
        <w:rPr>
          <w:rFonts w:eastAsia="Calibri"/>
        </w:rPr>
        <w:t>Si el revisor de certificación considera que la operación no cumple con las normas, se notificará al solicitante por escrito sobre los incumplimientos y se le dará la oportunidad de documentar las medidas correctivas. Si la documentación de la acción correctiva no se aborda dentro del plazo establecido en el aviso, el personal de certificación comienza los procedimientos para denegar la certificación, según la Notificación de Denegación de Certificación (Solicitantes).</w:t>
      </w:r>
    </w:p>
    <w:p w14:paraId="6E7CB1C3" w14:textId="6026E765" w:rsidR="00CF204E" w:rsidRPr="00921B6D" w:rsidRDefault="227E1361" w:rsidP="00337BBD">
      <w:pPr>
        <w:rPr>
          <w:rFonts w:eastAsia="Calibri"/>
          <w:lang w:val="es-ES"/>
        </w:rPr>
      </w:pPr>
      <w:r w:rsidRPr="227E1361">
        <w:rPr>
          <w:rFonts w:eastAsia="Calibri"/>
        </w:rPr>
        <w:t>Una vez que la solicitud completa y los materiales de apoyo han sido revisados y aprobados, se programa una inspección inicial para verificar la información provista en la solicitud. Este proceso ocurre dentro de un plazo razonable, excepto que la inspección inicial puede demorarse hasta 6 meses para poder cumplir con el requisito de que la operación sea inspeccionada cuando se puede observar el cumplimiento o la capacidad de cumplir.</w:t>
      </w:r>
      <w:r w:rsidR="00211F99">
        <w:t xml:space="preserve"> </w:t>
      </w:r>
    </w:p>
    <w:p w14:paraId="1792523C" w14:textId="04DCE3AA" w:rsidR="00CF204E" w:rsidRPr="00D23741" w:rsidRDefault="227E1361" w:rsidP="00337BBD">
      <w:pPr>
        <w:rPr>
          <w:rFonts w:eastAsia="Calibri"/>
          <w:lang w:val="es-ES"/>
        </w:rPr>
      </w:pPr>
      <w:r w:rsidRPr="227E1361">
        <w:rPr>
          <w:rFonts w:eastAsia="Calibri"/>
        </w:rPr>
        <w:t>El solicitante puede retirar su solicitud en cualquier momento. El solicitante debe informar a la oficina por escrito de su decisión de retirar una solicitud. Un solicitante que retira su solicitud es responsable de los costos de los servicios prestados hasta el momento de la retirada de la solicitud. Los solicitantes a quienes se les haya emitido un Notificación de Incumplimiento o un Notificación de Denegación deben corregir los incumplimientos citados antes de solicitar la certificación con otro certificador o nuevamente con QCS. QCS se reserva el derecho de emprender acciones adversas contra las operaciones que hayan retirado su solicitud si han violado intencionalmente el estándar orgánico.</w:t>
      </w:r>
    </w:p>
    <w:p w14:paraId="616015F4" w14:textId="0CCE9C1F" w:rsidR="00CF204E" w:rsidRPr="00E20CAB" w:rsidRDefault="227E1361" w:rsidP="00F62968">
      <w:pPr>
        <w:pStyle w:val="Heading2"/>
        <w:rPr>
          <w:lang w:val="es-ES"/>
        </w:rPr>
      </w:pPr>
      <w:bookmarkStart w:id="64" w:name="_Toc424898867"/>
      <w:bookmarkStart w:id="65" w:name="_Toc424899259"/>
      <w:bookmarkStart w:id="66" w:name="_Toc500935044"/>
      <w:r w:rsidRPr="227E1361">
        <w:rPr>
          <w:rFonts w:eastAsia="Tahoma,Times New Roman"/>
        </w:rPr>
        <w:t>TERCER PASO</w:t>
      </w:r>
      <w:r w:rsidR="00D23741">
        <w:tab/>
      </w:r>
      <w:r w:rsidRPr="227E1361">
        <w:rPr>
          <w:rFonts w:eastAsia="Tahoma,Times New Roman"/>
        </w:rPr>
        <w:t>Inspección</w:t>
      </w:r>
      <w:bookmarkEnd w:id="64"/>
      <w:bookmarkEnd w:id="65"/>
      <w:bookmarkEnd w:id="66"/>
    </w:p>
    <w:p w14:paraId="3E3713F2" w14:textId="2FF2279F" w:rsidR="00CF204E" w:rsidRPr="00E20CAB" w:rsidRDefault="227E1361" w:rsidP="00337BBD">
      <w:pPr>
        <w:rPr>
          <w:rFonts w:eastAsia="Times New Roman"/>
          <w:lang w:val="es-ES"/>
        </w:rPr>
      </w:pPr>
      <w:r w:rsidRPr="227E1361">
        <w:rPr>
          <w:rFonts w:eastAsia="Times New Roman"/>
        </w:rPr>
        <w:t>Se realiza una inspección inicial en el sitio para cada operación que solicita la certificación e incluye la unidad, instalación y sitio que produce o maneja productos orgánicos incluidos en una operación para la cual se solicita la certificación. Las normas adicionales requeridas para la exportación pueden requerir la inspección de partes no orgánicas de la operación.</w:t>
      </w:r>
    </w:p>
    <w:p w14:paraId="77601D17" w14:textId="3569BA5B" w:rsidR="00CF204E" w:rsidRPr="00E20CAB" w:rsidRDefault="227E1361" w:rsidP="00337BBD">
      <w:pPr>
        <w:rPr>
          <w:rFonts w:eastAsia="Times New Roman"/>
          <w:lang w:val="es-ES"/>
        </w:rPr>
      </w:pPr>
      <w:r w:rsidRPr="227E1361">
        <w:rPr>
          <w:rFonts w:eastAsia="Times New Roman"/>
        </w:rPr>
        <w:t>Se requieren inspecciones para cada operación certificada que produce o maneja productos orgánicos con el fin de determinar si se aprueba la solicitud de certificación o si la certificación de la operación debe continuar.</w:t>
      </w:r>
    </w:p>
    <w:p w14:paraId="32C23BE3" w14:textId="7FACFABC" w:rsidR="00CF204E" w:rsidRPr="00E20CAB" w:rsidRDefault="227E1361" w:rsidP="00337BBD">
      <w:pPr>
        <w:rPr>
          <w:rFonts w:eastAsia="Times New Roman"/>
          <w:lang w:val="es-ES"/>
        </w:rPr>
      </w:pPr>
      <w:r w:rsidRPr="227E1361">
        <w:rPr>
          <w:rFonts w:eastAsia="Times New Roman"/>
        </w:rPr>
        <w:t xml:space="preserve">QCS puede realizar inspecciones </w:t>
      </w:r>
      <w:r w:rsidRPr="227E1361">
        <w:rPr>
          <w:rFonts w:eastAsia="Times New Roman"/>
          <w:i/>
          <w:iCs/>
        </w:rPr>
        <w:t>in situ</w:t>
      </w:r>
      <w:r w:rsidRPr="227E1361">
        <w:rPr>
          <w:rFonts w:eastAsia="Times New Roman"/>
        </w:rPr>
        <w:t xml:space="preserve"> adicionales (ya sea anunciadas o no anunciadas) o tomar muestras, tanto para los solicitantes de primera vez como las operaciones actualmente certificadas, para determinar el cumplimiento de las normas aplicables y, si es necesario, verificar las solicitudes de exportación. </w:t>
      </w:r>
    </w:p>
    <w:p w14:paraId="7DF53EDD" w14:textId="09B90985" w:rsidR="001651CE" w:rsidRPr="001651CE" w:rsidRDefault="227E1361" w:rsidP="00F62968">
      <w:pPr>
        <w:pStyle w:val="Heading3"/>
        <w:rPr>
          <w:b w:val="0"/>
          <w:lang w:val="es-ES"/>
        </w:rPr>
      </w:pPr>
      <w:r w:rsidRPr="227E1361">
        <w:lastRenderedPageBreak/>
        <w:t>Asignación y Programación del Inspector(es)</w:t>
      </w:r>
    </w:p>
    <w:p w14:paraId="06B6B803" w14:textId="382B45C8" w:rsidR="00CF204E" w:rsidRPr="001651CE" w:rsidRDefault="227E1361" w:rsidP="00337BBD">
      <w:pPr>
        <w:rPr>
          <w:rFonts w:eastAsia="Times New Roman"/>
          <w:lang w:val="es-ES"/>
        </w:rPr>
      </w:pPr>
      <w:r w:rsidRPr="227E1361">
        <w:rPr>
          <w:rFonts w:eastAsia="Calibri"/>
        </w:rPr>
        <w:t xml:space="preserve">Una vez que se completa la revisión de la solicitud, QCS asigna un Inspector para realizar la inspección, según los siguientes criterios o una combinación de </w:t>
      </w:r>
      <w:proofErr w:type="gramStart"/>
      <w:r w:rsidRPr="227E1361">
        <w:rPr>
          <w:rFonts w:eastAsia="Calibri"/>
        </w:rPr>
        <w:t>los mismos</w:t>
      </w:r>
      <w:proofErr w:type="gramEnd"/>
      <w:r w:rsidRPr="227E1361">
        <w:rPr>
          <w:rFonts w:eastAsia="Calibri"/>
        </w:rPr>
        <w:t xml:space="preserve"> para el tipo específico de operación que se evaluará:</w:t>
      </w:r>
    </w:p>
    <w:p w14:paraId="7B272EBC" w14:textId="1B045FB2" w:rsidR="004442A1" w:rsidRPr="004442A1" w:rsidRDefault="227E1361" w:rsidP="002735CF">
      <w:pPr>
        <w:pStyle w:val="ListParagraph"/>
        <w:numPr>
          <w:ilvl w:val="0"/>
          <w:numId w:val="31"/>
        </w:numPr>
        <w:ind w:left="360"/>
        <w:rPr>
          <w:rFonts w:eastAsia="Times New Roman"/>
          <w:lang w:val="es-ES"/>
        </w:rPr>
      </w:pPr>
      <w:r w:rsidRPr="227E1361">
        <w:rPr>
          <w:rFonts w:eastAsia="Times New Roman"/>
        </w:rPr>
        <w:t>Educación específica, capacitación y experiencia apropiadas (es decir, política de capacitación);</w:t>
      </w:r>
    </w:p>
    <w:p w14:paraId="2938ECC4" w14:textId="2F515D7A" w:rsidR="004442A1" w:rsidRPr="004442A1" w:rsidRDefault="227E1361" w:rsidP="002735CF">
      <w:pPr>
        <w:pStyle w:val="ListParagraph"/>
        <w:numPr>
          <w:ilvl w:val="0"/>
          <w:numId w:val="31"/>
        </w:numPr>
        <w:ind w:left="360"/>
        <w:rPr>
          <w:rFonts w:eastAsia="Times New Roman"/>
          <w:lang w:val="es-ES"/>
        </w:rPr>
      </w:pPr>
      <w:r w:rsidRPr="227E1361">
        <w:rPr>
          <w:rFonts w:eastAsia="Times New Roman"/>
        </w:rPr>
        <w:t>Experiencia previa en el lugar donde se realiza una inspección;</w:t>
      </w:r>
    </w:p>
    <w:p w14:paraId="07DFE875" w14:textId="1A443F64" w:rsidR="004442A1" w:rsidRPr="004442A1" w:rsidRDefault="227E1361" w:rsidP="002735CF">
      <w:pPr>
        <w:pStyle w:val="ListParagraph"/>
        <w:numPr>
          <w:ilvl w:val="0"/>
          <w:numId w:val="31"/>
        </w:numPr>
        <w:ind w:left="360"/>
        <w:rPr>
          <w:rFonts w:eastAsia="Times New Roman"/>
          <w:lang w:val="en-GB"/>
        </w:rPr>
      </w:pPr>
      <w:r w:rsidRPr="227E1361">
        <w:rPr>
          <w:rFonts w:eastAsia="Times New Roman"/>
        </w:rPr>
        <w:t>Conocimiento del idioma local;</w:t>
      </w:r>
    </w:p>
    <w:p w14:paraId="33E58E65" w14:textId="4B3766CF" w:rsidR="004442A1" w:rsidRPr="004442A1" w:rsidRDefault="227E1361" w:rsidP="002735CF">
      <w:pPr>
        <w:pStyle w:val="ListParagraph"/>
        <w:numPr>
          <w:ilvl w:val="0"/>
          <w:numId w:val="31"/>
        </w:numPr>
        <w:ind w:left="360"/>
        <w:rPr>
          <w:rFonts w:eastAsia="Times New Roman"/>
          <w:lang w:val="es-ES"/>
        </w:rPr>
      </w:pPr>
      <w:r w:rsidRPr="227E1361">
        <w:rPr>
          <w:rFonts w:eastAsia="Times New Roman"/>
        </w:rPr>
        <w:t>El contexto orgánico local;</w:t>
      </w:r>
    </w:p>
    <w:p w14:paraId="089493E2" w14:textId="54295198" w:rsidR="004442A1" w:rsidRPr="004442A1" w:rsidRDefault="227E1361" w:rsidP="002735CF">
      <w:pPr>
        <w:pStyle w:val="ListParagraph"/>
        <w:numPr>
          <w:ilvl w:val="0"/>
          <w:numId w:val="31"/>
        </w:numPr>
        <w:ind w:left="360"/>
        <w:rPr>
          <w:rFonts w:eastAsia="Times New Roman"/>
          <w:lang w:val="es-ES"/>
        </w:rPr>
      </w:pPr>
      <w:r w:rsidRPr="227E1361">
        <w:rPr>
          <w:rFonts w:eastAsia="Times New Roman"/>
        </w:rPr>
        <w:t>Logística para la rentabilidad; y</w:t>
      </w:r>
    </w:p>
    <w:p w14:paraId="61A98B56" w14:textId="28F579FA" w:rsidR="00CF204E" w:rsidRPr="004442A1" w:rsidRDefault="227E1361" w:rsidP="002735CF">
      <w:pPr>
        <w:pStyle w:val="ListParagraph"/>
        <w:numPr>
          <w:ilvl w:val="0"/>
          <w:numId w:val="31"/>
        </w:numPr>
        <w:ind w:left="360"/>
        <w:rPr>
          <w:rFonts w:eastAsia="Times New Roman"/>
          <w:lang w:val="es-ES"/>
        </w:rPr>
      </w:pPr>
      <w:r w:rsidRPr="227E1361">
        <w:rPr>
          <w:rFonts w:eastAsia="Times New Roman"/>
        </w:rPr>
        <w:t xml:space="preserve">Sin afiliación previa o relación comercial u otros conflictos potenciales con la operación. </w:t>
      </w:r>
    </w:p>
    <w:p w14:paraId="56FDA33A" w14:textId="00FC11EC" w:rsidR="003B2F08" w:rsidRPr="00B15DD1" w:rsidRDefault="00B15DD1" w:rsidP="00337BBD">
      <w:pPr>
        <w:rPr>
          <w:rFonts w:eastAsia="Times New Roman"/>
          <w:lang w:val="es-ES"/>
        </w:rPr>
      </w:pPr>
      <w:r w:rsidRPr="00B15DD1">
        <w:rPr>
          <w:rFonts w:eastAsia="Times New Roman"/>
          <w:lang w:val="es-ES"/>
        </w:rPr>
        <w:t xml:space="preserve">El inspector contacta al solicitante con un plan de auditoría y ambos deben acordar la logística </w:t>
      </w:r>
      <w:r w:rsidR="0064190B">
        <w:rPr>
          <w:rFonts w:eastAsia="Times New Roman"/>
          <w:lang w:val="es-ES"/>
        </w:rPr>
        <w:t xml:space="preserve">y las fechas </w:t>
      </w:r>
      <w:r w:rsidRPr="00B15DD1">
        <w:rPr>
          <w:rFonts w:eastAsia="Times New Roman"/>
          <w:lang w:val="es-ES"/>
        </w:rPr>
        <w:t xml:space="preserve">de </w:t>
      </w:r>
      <w:r w:rsidR="0064190B">
        <w:rPr>
          <w:rFonts w:eastAsia="Times New Roman"/>
          <w:lang w:val="es-ES"/>
        </w:rPr>
        <w:t xml:space="preserve">la </w:t>
      </w:r>
      <w:r w:rsidRPr="00B15DD1">
        <w:rPr>
          <w:rFonts w:eastAsia="Times New Roman"/>
          <w:lang w:val="es-ES"/>
        </w:rPr>
        <w:t>inspección. Los solicitantes pueden rechazar la selección de un inspector basándose en un argumento válido que demuestre que el inspector no sería capaz de realizar una inspección objetiva de la operación en cuestión. Todas las inspecciones in situ, excepto las inspecciones no anunciadas, deben realizarse cuando esté presente un representante autorizado de la operación que tenga conocimiento de la operación y en un momento en que el terreno y / o las instalaciones demuestren la capacidad de la operación para cumplir con l</w:t>
      </w:r>
      <w:r w:rsidR="003102B3">
        <w:rPr>
          <w:rFonts w:eastAsia="Times New Roman"/>
          <w:lang w:val="es-ES"/>
        </w:rPr>
        <w:t>as normas</w:t>
      </w:r>
      <w:r w:rsidRPr="00B15DD1">
        <w:rPr>
          <w:rFonts w:eastAsia="Times New Roman"/>
          <w:lang w:val="es-ES"/>
        </w:rPr>
        <w:t xml:space="preserve"> </w:t>
      </w:r>
      <w:r w:rsidRPr="00077910">
        <w:rPr>
          <w:rFonts w:eastAsia="Times New Roman" w:cstheme="minorHAnsi"/>
          <w:lang w:val="es-ES"/>
        </w:rPr>
        <w:t>pertinent</w:t>
      </w:r>
      <w:r w:rsidR="003102B3" w:rsidRPr="00077910">
        <w:rPr>
          <w:rFonts w:eastAsia="Times New Roman" w:cstheme="minorHAnsi"/>
          <w:lang w:val="es-ES"/>
        </w:rPr>
        <w:t>es</w:t>
      </w:r>
      <w:r w:rsidR="002F659E" w:rsidRPr="00077910">
        <w:rPr>
          <w:rStyle w:val="FootnoteReference"/>
          <w:rFonts w:asciiTheme="minorHAnsi" w:eastAsia="Times New Roman" w:hAnsiTheme="minorHAnsi" w:cstheme="minorHAnsi"/>
        </w:rPr>
        <w:footnoteReference w:id="9"/>
      </w:r>
      <w:r w:rsidR="00077910" w:rsidRPr="00077910">
        <w:rPr>
          <w:rFonts w:eastAsia="Times New Roman" w:cstheme="minorHAnsi"/>
          <w:lang w:val="es-ES"/>
        </w:rPr>
        <w:t>.</w:t>
      </w:r>
      <w:r w:rsidR="003B2F08" w:rsidRPr="00B15DD1">
        <w:rPr>
          <w:rFonts w:eastAsia="Times New Roman"/>
          <w:lang w:val="es-ES"/>
        </w:rPr>
        <w:t xml:space="preserve"> </w:t>
      </w:r>
    </w:p>
    <w:p w14:paraId="30B7BAEE" w14:textId="63A1CF3C" w:rsidR="002E60CA" w:rsidRPr="00800172" w:rsidRDefault="227E1361" w:rsidP="00337BBD">
      <w:pPr>
        <w:rPr>
          <w:rFonts w:eastAsia="Calibri"/>
          <w:lang w:val="es-ES"/>
        </w:rPr>
      </w:pPr>
      <w:r w:rsidRPr="227E1361">
        <w:rPr>
          <w:rFonts w:eastAsia="Calibri"/>
        </w:rPr>
        <w:t>QCS también rota a los inspectores para que un inspector no inspeccione la misma operación más de 5 veces consecutivas, y no más de 3 veces consecutivas para inspecciones de la UE y COR. Esto ayuda a minimizar cualquier sesgo (es decir, trato de familiaridad, etc.) que pueda surgir de ser inspeccionado por el mismo inspector año tras año.</w:t>
      </w:r>
    </w:p>
    <w:p w14:paraId="51FA824C" w14:textId="13C5F1E1" w:rsidR="00A60C2D" w:rsidRPr="00F22FBF" w:rsidRDefault="227E1361" w:rsidP="00DA608B">
      <w:pPr>
        <w:pStyle w:val="Heading3"/>
        <w:rPr>
          <w:b w:val="0"/>
        </w:rPr>
      </w:pPr>
      <w:r w:rsidRPr="227E1361">
        <w:t>Programación de Inspección de QCS para el Programa de Ganado Orgánico Alimentado con Pasto OTP</w:t>
      </w:r>
    </w:p>
    <w:p w14:paraId="1265725B" w14:textId="5ECA2C36" w:rsidR="00A60C2D" w:rsidRPr="00D32BFB" w:rsidRDefault="227E1361" w:rsidP="00337BBD">
      <w:pPr>
        <w:rPr>
          <w:rFonts w:eastAsia="Calibri"/>
          <w:lang w:val="es-ES"/>
        </w:rPr>
      </w:pPr>
      <w:r w:rsidRPr="227E1361">
        <w:rPr>
          <w:rFonts w:eastAsia="Calibri"/>
        </w:rPr>
        <w:t>Las inspecciones son visitas in situ y se realizan en conjunto con la inspección anual para la certificación orgánica según las Regulaciones Orgánicas del USDA.</w:t>
      </w:r>
    </w:p>
    <w:p w14:paraId="11F3FB72" w14:textId="088AE36D" w:rsidR="00BD5610" w:rsidRDefault="227E1361" w:rsidP="00F62968">
      <w:pPr>
        <w:pStyle w:val="Heading3"/>
        <w:rPr>
          <w:b w:val="0"/>
        </w:rPr>
      </w:pPr>
      <w:r w:rsidRPr="227E1361">
        <w:t>Programación de Inspección de QCS para el Reglamento (UE) 201</w:t>
      </w:r>
      <w:r w:rsidR="00E12B10">
        <w:t>8</w:t>
      </w:r>
      <w:r w:rsidRPr="227E1361">
        <w:t>/848</w:t>
      </w:r>
    </w:p>
    <w:p w14:paraId="6EFE1B0E" w14:textId="4CA9847A" w:rsidR="00CF204E" w:rsidRPr="00BE12D4" w:rsidRDefault="227E1361" w:rsidP="00337BBD">
      <w:pPr>
        <w:rPr>
          <w:rFonts w:eastAsia="Calibri"/>
          <w:lang w:val="es-ES"/>
        </w:rPr>
      </w:pPr>
      <w:r w:rsidRPr="227E1361">
        <w:rPr>
          <w:rFonts w:ascii="Calibri" w:eastAsia="Calibri" w:hAnsi="Calibri" w:cs="Calibri"/>
        </w:rPr>
        <w:t>Todos los operadores y grupos de operadores estarán sujetos a una verificación de cumplimiento al menos una vez al año</w:t>
      </w:r>
      <w:r w:rsidR="00CF204E" w:rsidRPr="007C02EB">
        <w:rPr>
          <w:rFonts w:eastAsia="Calibri" w:cs="Times New Roman"/>
          <w:vertAlign w:val="superscript"/>
        </w:rPr>
        <w:footnoteReference w:id="10"/>
      </w:r>
      <w:r w:rsidR="00F724B5">
        <w:rPr>
          <w:rFonts w:ascii="Calibri" w:eastAsia="Calibri" w:hAnsi="Calibri" w:cs="Calibri"/>
        </w:rPr>
        <w:t>.</w:t>
      </w:r>
    </w:p>
    <w:p w14:paraId="110438E9" w14:textId="2D507B85" w:rsidR="00CF204E" w:rsidRPr="000C2E7B" w:rsidRDefault="227E1361" w:rsidP="009633E2">
      <w:pPr>
        <w:spacing w:before="120"/>
        <w:rPr>
          <w:rFonts w:ascii="Calibri" w:eastAsia="Calibri" w:hAnsi="Calibri" w:cs="Calibri"/>
          <w:lang w:val="es"/>
        </w:rPr>
      </w:pPr>
      <w:r w:rsidRPr="00FE7F19">
        <w:rPr>
          <w:lang w:val="es"/>
        </w:rPr>
        <w:t>Además de las inspecciones anuales, QCS realiza inspecciones adicionales de un mínimo del 10% de los operadores certificados según el estándar de la UE. El 10% de todas las inspecciones requeridas se realizará sin previo aviso cada año</w:t>
      </w:r>
      <w:r w:rsidR="00CF204E" w:rsidRPr="000C2E7B">
        <w:rPr>
          <w:vertAlign w:val="superscript"/>
        </w:rPr>
        <w:footnoteReference w:id="11"/>
      </w:r>
      <w:r w:rsidR="000C2E7B">
        <w:rPr>
          <w:lang w:val="es"/>
        </w:rPr>
        <w:t>.</w:t>
      </w:r>
    </w:p>
    <w:p w14:paraId="5BF76E26" w14:textId="3E06E895" w:rsidR="002E60CA" w:rsidRPr="000C2E7B" w:rsidRDefault="227E1361" w:rsidP="00337BBD">
      <w:pPr>
        <w:rPr>
          <w:rFonts w:eastAsia="Calibri" w:cstheme="minorHAnsi"/>
        </w:rPr>
      </w:pPr>
      <w:r w:rsidRPr="227E1361">
        <w:rPr>
          <w:rFonts w:ascii="Calibri" w:eastAsia="Calibri" w:hAnsi="Calibri" w:cs="Calibri"/>
          <w:lang w:val="es"/>
        </w:rPr>
        <w:t>QCS implementa controles adicionales según lo requiera la Comisión Europea, lo que puede incluir inspecciones adicionales por encima del 10% de los operadores certificados</w:t>
      </w:r>
      <w:r w:rsidR="00860994">
        <w:rPr>
          <w:rFonts w:eastAsia="Calibri" w:cstheme="minorHAnsi"/>
        </w:rPr>
        <w:t xml:space="preserve">. </w:t>
      </w:r>
    </w:p>
    <w:p w14:paraId="7DF8BDE0" w14:textId="32FF9CD7" w:rsidR="002E60CA" w:rsidRPr="000C2E7B" w:rsidRDefault="227E1361" w:rsidP="00337BBD">
      <w:pPr>
        <w:rPr>
          <w:rFonts w:eastAsia="Calibri" w:cstheme="minorHAnsi"/>
          <w:lang w:val="es-ES"/>
        </w:rPr>
      </w:pPr>
      <w:r w:rsidRPr="000C2E7B">
        <w:rPr>
          <w:rFonts w:cstheme="minorHAnsi"/>
          <w:lang w:val="es"/>
        </w:rPr>
        <w:t>La primera inspección de un operador que busca el reconocimiento retroactivo de un período anterior como parte del período de conversión debe ocurrir antes de que el operador haya tomado cualquier medida de cultivo</w:t>
      </w:r>
      <w:r w:rsidR="000D1A70" w:rsidRPr="000C2E7B">
        <w:rPr>
          <w:rStyle w:val="FootnoteReference"/>
          <w:rFonts w:asciiTheme="minorHAnsi" w:eastAsia="Calibri" w:hAnsiTheme="minorHAnsi" w:cstheme="minorHAnsi"/>
        </w:rPr>
        <w:footnoteReference w:id="12"/>
      </w:r>
      <w:r w:rsidR="00F724B5">
        <w:rPr>
          <w:rFonts w:cstheme="minorHAnsi"/>
          <w:lang w:val="es"/>
        </w:rPr>
        <w:t>.</w:t>
      </w:r>
    </w:p>
    <w:p w14:paraId="3C0576DF" w14:textId="64B3F815" w:rsidR="00CF204E" w:rsidRPr="00BD5610" w:rsidRDefault="00700ACC" w:rsidP="00F62968">
      <w:pPr>
        <w:pStyle w:val="Heading3"/>
        <w:rPr>
          <w:b w:val="0"/>
          <w:lang w:val="es-ES"/>
        </w:rPr>
      </w:pPr>
      <w:r w:rsidRPr="227E1361">
        <w:rPr>
          <w:lang w:val="es-ES"/>
        </w:rPr>
        <w:lastRenderedPageBreak/>
        <w:t xml:space="preserve">Programación de Inspección de QCS para Estándares Adicionales: </w:t>
      </w:r>
      <w:r w:rsidR="00F22FBF" w:rsidRPr="227E1361">
        <w:rPr>
          <w:lang w:val="es-ES"/>
        </w:rPr>
        <w:t>Canada Organic Regime</w:t>
      </w:r>
    </w:p>
    <w:p w14:paraId="38AE107E" w14:textId="3D60AA5B" w:rsidR="00CF204E" w:rsidRPr="00AC0F55" w:rsidRDefault="227E1361" w:rsidP="00337BBD">
      <w:pPr>
        <w:rPr>
          <w:rFonts w:eastAsia="Calibri"/>
          <w:lang w:val="es-ES"/>
        </w:rPr>
      </w:pPr>
      <w:r w:rsidRPr="227E1361">
        <w:rPr>
          <w:rFonts w:eastAsia="Calibri"/>
        </w:rPr>
        <w:t>Las inspecciones se llevan a cabo durante un tiempo en el que se pueden observar terrenos, locales y actividades sujetas a certificación. Cualquier retraso en la inspección entre 12 y 18 meses debe estar justificado y documentado. La inspección incluye unidades no orgánicas donde hay razones para sospechar una producción dividida no declarada de productos similares, y en cualquier situación que revele un alto riesgo de contaminación cruzada; donde los productores agrícolas realizan una producción dividida, las inspecciones permiten la determinación visual de lo que se está plantando en todos los campos cultivados dentro de la unidad de producción.</w:t>
      </w:r>
    </w:p>
    <w:p w14:paraId="6AE2349C" w14:textId="45D9D01B" w:rsidR="00C74F31" w:rsidRDefault="227E1361" w:rsidP="00337BBD">
      <w:pPr>
        <w:rPr>
          <w:rFonts w:eastAsia="Calibri"/>
        </w:rPr>
      </w:pPr>
      <w:r w:rsidRPr="227E1361">
        <w:rPr>
          <w:rFonts w:eastAsia="Calibri"/>
        </w:rPr>
        <w:t>QCS garantiza que se inspeccionen todas las operaciones de procesamiento (por ejemplo, edificios, instalaciones y vehículos), incluidos el embalaje y el etiquetado, y cualquier actividad subcontratada en la que se base un operador para producir y / o preparar cada producto incluido en su aplicación. En los casos que involucran operaciones de procesamiento con producción separada (es decir, cuando se fabrican productos certificables y no certificables en la misma instalación), la inspección se lleva a cabo en el momento en que se procesan los productos que son objeto de certificación. Si QCS determina que no es posible realizar la inspección mientras se procesa el producto orgánico, QCS registra los motivos que respaldan esta determinación. Luego, QCS hará los arreglos para que la inspección se realice en un momento en que las instalaciones y actividades que demuestren cumplimiento o capacidad de cumplimiento puedan evaluarse. No habrá más de dos años consecutivos sin una inspección cuando el producto orgánico se esté procesando.</w:t>
      </w:r>
    </w:p>
    <w:p w14:paraId="6FF4F5F6" w14:textId="0C67F17D" w:rsidR="00C65F7D" w:rsidRPr="00BC5A03" w:rsidRDefault="0035661D" w:rsidP="00337BBD">
      <w:pPr>
        <w:rPr>
          <w:rFonts w:eastAsia="Calibri"/>
          <w:lang w:val="es-ES"/>
        </w:rPr>
      </w:pPr>
      <w:r w:rsidRPr="0035661D">
        <w:rPr>
          <w:rFonts w:eastAsia="Calibri"/>
          <w:lang w:val="es-ES"/>
        </w:rPr>
        <w:t xml:space="preserve">En el caso de la </w:t>
      </w:r>
      <w:r>
        <w:rPr>
          <w:rFonts w:eastAsia="Calibri"/>
          <w:lang w:val="es-ES"/>
        </w:rPr>
        <w:t>solicitud para certificación</w:t>
      </w:r>
      <w:r w:rsidRPr="0035661D">
        <w:rPr>
          <w:rFonts w:eastAsia="Calibri"/>
          <w:lang w:val="es-ES"/>
        </w:rPr>
        <w:t xml:space="preserve"> inicial, donde no hay ningún producto orgánico disponible durante la primera inspección, QCS verificará el sistema del operador para </w:t>
      </w:r>
      <w:r w:rsidR="002B1484">
        <w:rPr>
          <w:rFonts w:eastAsia="Calibri"/>
          <w:lang w:val="es-ES"/>
        </w:rPr>
        <w:t>insumos</w:t>
      </w:r>
      <w:r w:rsidRPr="0035661D">
        <w:rPr>
          <w:rFonts w:eastAsia="Calibri"/>
          <w:lang w:val="es-ES"/>
        </w:rPr>
        <w:t>/</w:t>
      </w:r>
      <w:r w:rsidR="00E91F31">
        <w:rPr>
          <w:rFonts w:eastAsia="Calibri"/>
          <w:lang w:val="es-ES"/>
        </w:rPr>
        <w:t xml:space="preserve">entradas y salidas/ventas </w:t>
      </w:r>
      <w:r w:rsidRPr="0035661D">
        <w:rPr>
          <w:rFonts w:eastAsia="Calibri"/>
          <w:lang w:val="es-ES"/>
        </w:rPr>
        <w:t>(balance de masa) y realizará una auditoría de rastreo en los productos convencionales para garantizar que el operador haya establecido un sistema efectivo. sistema de trazabilidad</w:t>
      </w:r>
      <w:r>
        <w:rPr>
          <w:rFonts w:eastAsia="Calibri"/>
          <w:lang w:val="es-ES"/>
        </w:rPr>
        <w:t xml:space="preserve">. </w:t>
      </w:r>
    </w:p>
    <w:p w14:paraId="7709AE55" w14:textId="1F06D846" w:rsidR="00A90A10" w:rsidRDefault="227E1361" w:rsidP="00F62968">
      <w:pPr>
        <w:pStyle w:val="Heading3"/>
        <w:rPr>
          <w:b w:val="0"/>
          <w:lang w:val="es-ES"/>
        </w:rPr>
      </w:pPr>
      <w:r w:rsidRPr="227E1361">
        <w:t>Requisitos del Plan de Inspección</w:t>
      </w:r>
    </w:p>
    <w:p w14:paraId="56D65B45" w14:textId="702A1C24" w:rsidR="00CF204E" w:rsidRPr="000329C9" w:rsidRDefault="000329C9" w:rsidP="00F62968">
      <w:pPr>
        <w:pStyle w:val="Heading4"/>
        <w:rPr>
          <w:lang w:val="es-ES"/>
        </w:rPr>
      </w:pPr>
      <w:r w:rsidRPr="227E1361">
        <w:rPr>
          <w:lang w:val="es-ES"/>
        </w:rPr>
        <w:t xml:space="preserve">Antes de la </w:t>
      </w:r>
      <w:r w:rsidRPr="00F724B5">
        <w:rPr>
          <w:rFonts w:cstheme="majorHAnsi"/>
          <w:lang w:val="es-ES"/>
        </w:rPr>
        <w:t>inspección</w:t>
      </w:r>
      <w:r w:rsidR="002F659E" w:rsidRPr="00077910">
        <w:rPr>
          <w:rStyle w:val="FootnoteReference"/>
          <w:rFonts w:asciiTheme="majorHAnsi" w:eastAsia="Calibri" w:hAnsiTheme="majorHAnsi" w:cstheme="majorHAnsi"/>
          <w:u w:val="none"/>
        </w:rPr>
        <w:footnoteReference w:id="13"/>
      </w:r>
    </w:p>
    <w:p w14:paraId="787848BE" w14:textId="171CD6E4" w:rsidR="00CF204E" w:rsidRPr="000329C9" w:rsidRDefault="227E1361" w:rsidP="00337BBD">
      <w:pPr>
        <w:rPr>
          <w:rFonts w:eastAsia="Calibri"/>
          <w:lang w:val="es-ES"/>
        </w:rPr>
      </w:pPr>
      <w:r w:rsidRPr="227E1361">
        <w:rPr>
          <w:rFonts w:eastAsia="Calibri"/>
        </w:rPr>
        <w:t>Antes de realizar una inspección real en el sitio, QCS proporciona a los inspectores el Manual de Inspección de QCS y la orientación necesaria para que el inspector complete una inspección exitosa, incluyendo como mínimo:</w:t>
      </w:r>
    </w:p>
    <w:p w14:paraId="398BA9B1" w14:textId="6E352A65" w:rsidR="009767C2" w:rsidRPr="00D509DF" w:rsidRDefault="227E1361" w:rsidP="002735CF">
      <w:pPr>
        <w:pStyle w:val="ListParagraph"/>
        <w:numPr>
          <w:ilvl w:val="0"/>
          <w:numId w:val="32"/>
        </w:numPr>
        <w:rPr>
          <w:rFonts w:eastAsia="Calibri"/>
          <w:lang w:val="es-ES"/>
        </w:rPr>
      </w:pPr>
      <w:r w:rsidRPr="227E1361">
        <w:rPr>
          <w:rFonts w:eastAsia="Calibri"/>
        </w:rPr>
        <w:t>La implementación en el campo de cualquier lista de verificación, documentos de orientación u opciones para la interpretación de estándares;</w:t>
      </w:r>
    </w:p>
    <w:p w14:paraId="0C65CBEB" w14:textId="0C13B2B9" w:rsidR="00DD6507" w:rsidRPr="00D509DF" w:rsidRDefault="227E1361" w:rsidP="002735CF">
      <w:pPr>
        <w:pStyle w:val="ListParagraph"/>
        <w:numPr>
          <w:ilvl w:val="0"/>
          <w:numId w:val="32"/>
        </w:numPr>
        <w:rPr>
          <w:rFonts w:eastAsia="Calibri"/>
          <w:lang w:val="es-ES"/>
        </w:rPr>
      </w:pPr>
      <w:r w:rsidRPr="227E1361">
        <w:rPr>
          <w:rFonts w:eastAsia="Calibri"/>
        </w:rPr>
        <w:t>Requisitos para empezar reuniones, terminar reuniones; comunicaciones de resultados de auditorías de vigilancia, y</w:t>
      </w:r>
    </w:p>
    <w:p w14:paraId="33D8B30F" w14:textId="21A8769E" w:rsidR="00CF204E" w:rsidRPr="00D509DF" w:rsidRDefault="227E1361" w:rsidP="002735CF">
      <w:pPr>
        <w:pStyle w:val="ListParagraph"/>
        <w:numPr>
          <w:ilvl w:val="0"/>
          <w:numId w:val="32"/>
        </w:numPr>
        <w:rPr>
          <w:rFonts w:eastAsia="Calibri"/>
          <w:lang w:val="es-ES"/>
        </w:rPr>
      </w:pPr>
      <w:r w:rsidRPr="227E1361">
        <w:rPr>
          <w:rFonts w:eastAsia="Calibri"/>
        </w:rPr>
        <w:t>Requisitos para redactar informes.</w:t>
      </w:r>
    </w:p>
    <w:p w14:paraId="6A7055BE" w14:textId="2EE6B0B1" w:rsidR="00CF204E" w:rsidRPr="002A1A64" w:rsidRDefault="227E1361" w:rsidP="00337BBD">
      <w:pPr>
        <w:rPr>
          <w:rFonts w:eastAsia="Calibri"/>
          <w:lang w:val="es-ES"/>
        </w:rPr>
      </w:pPr>
      <w:r w:rsidRPr="227E1361">
        <w:rPr>
          <w:rFonts w:eastAsia="Calibri"/>
        </w:rPr>
        <w:t xml:space="preserve">QCS también proporciona al inspector (según corresponda) los siguientes documentos para su revisión: </w:t>
      </w:r>
    </w:p>
    <w:p w14:paraId="16E240AA" w14:textId="6A92BA58" w:rsidR="002A1A64" w:rsidRPr="00D509DF" w:rsidRDefault="227E1361" w:rsidP="002735CF">
      <w:pPr>
        <w:pStyle w:val="ListParagraph"/>
        <w:numPr>
          <w:ilvl w:val="0"/>
          <w:numId w:val="33"/>
        </w:numPr>
        <w:rPr>
          <w:rFonts w:eastAsia="Calibri"/>
          <w:lang w:val="es-ES"/>
        </w:rPr>
      </w:pPr>
      <w:r w:rsidRPr="227E1361">
        <w:rPr>
          <w:rFonts w:eastAsia="Calibri"/>
        </w:rPr>
        <w:t>La solicitud (P</w:t>
      </w:r>
      <w:r w:rsidR="00F6655F">
        <w:rPr>
          <w:rFonts w:eastAsia="Calibri"/>
        </w:rPr>
        <w:t>S</w:t>
      </w:r>
      <w:r w:rsidRPr="227E1361">
        <w:rPr>
          <w:rFonts w:eastAsia="Calibri"/>
        </w:rPr>
        <w:t>O) / Renovación;</w:t>
      </w:r>
    </w:p>
    <w:p w14:paraId="00D77B06" w14:textId="2CC8EE3A" w:rsidR="002A1A64" w:rsidRPr="00D509DF" w:rsidRDefault="227E1361" w:rsidP="002735CF">
      <w:pPr>
        <w:pStyle w:val="ListParagraph"/>
        <w:numPr>
          <w:ilvl w:val="0"/>
          <w:numId w:val="33"/>
        </w:numPr>
        <w:rPr>
          <w:rFonts w:eastAsia="Calibri"/>
          <w:lang w:val="es-ES"/>
        </w:rPr>
      </w:pPr>
      <w:r w:rsidRPr="227E1361">
        <w:rPr>
          <w:rFonts w:eastAsia="Calibri"/>
        </w:rPr>
        <w:t>Informe de inspección del año anterior, si corresponde;</w:t>
      </w:r>
    </w:p>
    <w:p w14:paraId="659750AC" w14:textId="4E9953E8" w:rsidR="002A1A64" w:rsidRPr="00D509DF" w:rsidRDefault="227E1361" w:rsidP="002735CF">
      <w:pPr>
        <w:pStyle w:val="ListParagraph"/>
        <w:numPr>
          <w:ilvl w:val="0"/>
          <w:numId w:val="33"/>
        </w:numPr>
        <w:rPr>
          <w:rFonts w:eastAsia="Calibri"/>
          <w:lang w:val="es-ES"/>
        </w:rPr>
      </w:pPr>
      <w:r w:rsidRPr="227E1361">
        <w:rPr>
          <w:rFonts w:eastAsia="Calibri"/>
        </w:rPr>
        <w:t>Cualquier Incumplimiento Menor y las acciones correctivas correspondientes del año anterior;</w:t>
      </w:r>
    </w:p>
    <w:p w14:paraId="78FEB8DD" w14:textId="60F1BAC3" w:rsidR="002A1A64" w:rsidRPr="00D509DF" w:rsidRDefault="227E1361" w:rsidP="002735CF">
      <w:pPr>
        <w:pStyle w:val="ListParagraph"/>
        <w:numPr>
          <w:ilvl w:val="0"/>
          <w:numId w:val="33"/>
        </w:numPr>
        <w:rPr>
          <w:rFonts w:eastAsia="Calibri"/>
          <w:lang w:val="es-ES"/>
        </w:rPr>
      </w:pPr>
      <w:r w:rsidRPr="227E1361">
        <w:rPr>
          <w:rFonts w:eastAsia="Calibri"/>
        </w:rPr>
        <w:t>Materiales aplicables a la operación del solicitante;</w:t>
      </w:r>
    </w:p>
    <w:p w14:paraId="5F06EE8B" w14:textId="758414E1" w:rsidR="002A1A64" w:rsidRPr="00D509DF" w:rsidRDefault="227E1361" w:rsidP="002735CF">
      <w:pPr>
        <w:pStyle w:val="ListParagraph"/>
        <w:numPr>
          <w:ilvl w:val="0"/>
          <w:numId w:val="33"/>
        </w:numPr>
        <w:rPr>
          <w:rFonts w:eastAsia="Calibri"/>
          <w:lang w:val="es-ES"/>
        </w:rPr>
      </w:pPr>
      <w:r w:rsidRPr="227E1361">
        <w:rPr>
          <w:rFonts w:eastAsia="Calibri"/>
        </w:rPr>
        <w:t>Instrucciones y requisitos específicos adicionales según lo indique QCS;</w:t>
      </w:r>
    </w:p>
    <w:p w14:paraId="05A563BB" w14:textId="63FF1679" w:rsidR="00CF204E" w:rsidRPr="00D509DF" w:rsidRDefault="227E1361" w:rsidP="002735CF">
      <w:pPr>
        <w:pStyle w:val="ListParagraph"/>
        <w:numPr>
          <w:ilvl w:val="0"/>
          <w:numId w:val="33"/>
        </w:numPr>
        <w:rPr>
          <w:rFonts w:eastAsia="Calibri"/>
          <w:lang w:val="fr-FR"/>
        </w:rPr>
      </w:pPr>
      <w:r w:rsidRPr="227E1361">
        <w:rPr>
          <w:rFonts w:eastAsia="Calibri"/>
        </w:rPr>
        <w:lastRenderedPageBreak/>
        <w:t>Normas de Certificación Relevantes.</w:t>
      </w:r>
    </w:p>
    <w:p w14:paraId="68331621" w14:textId="4D34E906" w:rsidR="00CF204E" w:rsidRPr="00BD5610" w:rsidRDefault="00CF204E" w:rsidP="00F62968">
      <w:pPr>
        <w:pStyle w:val="Heading4"/>
        <w:rPr>
          <w:lang w:val="es-ES"/>
        </w:rPr>
      </w:pPr>
      <w:r w:rsidRPr="227E1361">
        <w:rPr>
          <w:lang w:val="es-ES"/>
        </w:rPr>
        <w:t>Dur</w:t>
      </w:r>
      <w:r w:rsidR="004E3D81" w:rsidRPr="227E1361">
        <w:rPr>
          <w:lang w:val="es-ES"/>
        </w:rPr>
        <w:t>ante</w:t>
      </w:r>
      <w:r w:rsidRPr="227E1361">
        <w:rPr>
          <w:lang w:val="es-ES"/>
        </w:rPr>
        <w:t xml:space="preserve"> </w:t>
      </w:r>
      <w:r w:rsidR="004E3D81" w:rsidRPr="227E1361">
        <w:rPr>
          <w:lang w:val="es-ES"/>
        </w:rPr>
        <w:t>la</w:t>
      </w:r>
      <w:r w:rsidRPr="227E1361">
        <w:rPr>
          <w:lang w:val="es-ES"/>
        </w:rPr>
        <w:t xml:space="preserve"> Inspec</w:t>
      </w:r>
      <w:r w:rsidR="004E3D81" w:rsidRPr="227E1361">
        <w:rPr>
          <w:lang w:val="es-ES"/>
        </w:rPr>
        <w:t>c</w:t>
      </w:r>
      <w:r w:rsidRPr="227E1361">
        <w:rPr>
          <w:lang w:val="es-ES"/>
        </w:rPr>
        <w:t>i</w:t>
      </w:r>
      <w:r w:rsidR="004E3D81" w:rsidRPr="227E1361">
        <w:rPr>
          <w:lang w:val="es-ES"/>
        </w:rPr>
        <w:t>ó</w:t>
      </w:r>
      <w:r w:rsidRPr="227E1361">
        <w:rPr>
          <w:lang w:val="es-ES"/>
        </w:rPr>
        <w:t>n</w:t>
      </w:r>
      <w:r w:rsidRPr="00077910">
        <w:rPr>
          <w:u w:val="none"/>
          <w:vertAlign w:val="superscript"/>
        </w:rPr>
        <w:footnoteReference w:id="14"/>
      </w:r>
    </w:p>
    <w:p w14:paraId="662AB2CE" w14:textId="4C0E0C87" w:rsidR="002F659E" w:rsidRPr="00EC0EFE" w:rsidRDefault="227E1361" w:rsidP="00337BBD">
      <w:pPr>
        <w:spacing w:line="240" w:lineRule="auto"/>
        <w:rPr>
          <w:rFonts w:eastAsia="Calibri"/>
        </w:rPr>
      </w:pPr>
      <w:r>
        <w:t xml:space="preserve">Las inspecciones en el sitio, excepto las inspecciones no anunciadas, deben realizarse cuando un representante autorizado de la operación que tiene conocimiento de la operación está presente y en el momento en que </w:t>
      </w:r>
      <w:r w:rsidRPr="227E1361">
        <w:rPr>
          <w:rFonts w:ascii="Calibri" w:eastAsia="Calibri" w:hAnsi="Calibri" w:cs="Calibri"/>
        </w:rPr>
        <w:t xml:space="preserve">se puede observar </w:t>
      </w:r>
      <w:r>
        <w:t>la tierra, las instalaciones y las actividades que demuestran el cumplimiento de la operación o la capacidad de cumplir con las disposiciones aplicables a la(s) norma(s).</w:t>
      </w:r>
    </w:p>
    <w:p w14:paraId="0AE4D0E0" w14:textId="6944CF46" w:rsidR="00E123EB" w:rsidRPr="00FB3CCC" w:rsidRDefault="227E1361" w:rsidP="00337BBD">
      <w:pPr>
        <w:rPr>
          <w:rFonts w:eastAsia="Times New Roman"/>
          <w:lang w:val="es-ES"/>
        </w:rPr>
      </w:pPr>
      <w:r w:rsidRPr="227E1361">
        <w:rPr>
          <w:rFonts w:eastAsia="Times New Roman"/>
        </w:rPr>
        <w:t>El inspector lleva a cabo una Reunión de Apertura para proporcionar una visión general del plan de inspección. Durante la reunión de apertura, el Inspector proporciona un Acuerdo de Inspección que debe ser firmado por el operador antes de proceder con la inspección. El inspector inspecciona cada unidad de producción, instalación y sitio que produce o maneja productos orgánicos y que se incluye en la solicitud de certificación.</w:t>
      </w:r>
    </w:p>
    <w:p w14:paraId="037F6A0E" w14:textId="52435D79" w:rsidR="00CF204E" w:rsidRPr="00B82E2B" w:rsidRDefault="227E1361" w:rsidP="00337BBD">
      <w:pPr>
        <w:rPr>
          <w:rFonts w:eastAsia="Times New Roman"/>
          <w:lang w:val="es-ES"/>
        </w:rPr>
      </w:pPr>
      <w:r w:rsidRPr="227E1361">
        <w:rPr>
          <w:rFonts w:eastAsia="Times New Roman"/>
        </w:rPr>
        <w:t>El Inspector también revisa documentos, sistemas de registros, entrevista al personal y realiza muestreos según lo justifique. Los solicitantes deben permitir que el inspector tenga acceso completo a la operación de producción y manipulación, incluidas las áreas de producción y manejo no certificadas, estructuras y oficinas.</w:t>
      </w:r>
    </w:p>
    <w:p w14:paraId="05E07577" w14:textId="6EE07F62" w:rsidR="009767C2" w:rsidRPr="00AC3666" w:rsidRDefault="227E1361" w:rsidP="005879E3">
      <w:pPr>
        <w:keepNext/>
        <w:rPr>
          <w:rFonts w:eastAsia="Times New Roman"/>
          <w:lang w:val="es-ES"/>
        </w:rPr>
      </w:pPr>
      <w:r w:rsidRPr="227E1361">
        <w:rPr>
          <w:rFonts w:eastAsia="Times New Roman"/>
        </w:rPr>
        <w:t>Durante la inspección, el inspector verifica e informa sobre los siguientes puntos:</w:t>
      </w:r>
    </w:p>
    <w:p w14:paraId="0F070F7B" w14:textId="6861C8FB" w:rsidR="009767C2" w:rsidRPr="00AC3666" w:rsidRDefault="227E1361" w:rsidP="002735CF">
      <w:pPr>
        <w:pStyle w:val="ListParagraph"/>
        <w:numPr>
          <w:ilvl w:val="1"/>
          <w:numId w:val="12"/>
        </w:numPr>
        <w:rPr>
          <w:rFonts w:eastAsia="Times New Roman"/>
          <w:lang w:val="es-ES"/>
        </w:rPr>
      </w:pPr>
      <w:r w:rsidRPr="227E1361">
        <w:rPr>
          <w:rFonts w:eastAsia="Times New Roman"/>
        </w:rPr>
        <w:t>El cumplimiento o la capacidad de las operaciones para cumplir con el NOP u otras normas adicionales, según corresponda;</w:t>
      </w:r>
    </w:p>
    <w:p w14:paraId="1CE98C78" w14:textId="709E23EA" w:rsidR="00CF204E" w:rsidRPr="000E2AA7" w:rsidRDefault="227E1361" w:rsidP="002735CF">
      <w:pPr>
        <w:pStyle w:val="ListParagraph"/>
        <w:numPr>
          <w:ilvl w:val="1"/>
          <w:numId w:val="12"/>
        </w:numPr>
        <w:rPr>
          <w:rFonts w:eastAsia="Times New Roman"/>
          <w:lang w:val="es-ES"/>
        </w:rPr>
      </w:pPr>
      <w:r w:rsidRPr="227E1361">
        <w:rPr>
          <w:rFonts w:eastAsia="Times New Roman"/>
        </w:rPr>
        <w:t xml:space="preserve">La información proporcionada en la solicitud, incluido que el </w:t>
      </w:r>
      <w:r w:rsidR="00C04921">
        <w:rPr>
          <w:rFonts w:eastAsia="Times New Roman"/>
        </w:rPr>
        <w:t>plan de sistema orgánico</w:t>
      </w:r>
      <w:r w:rsidRPr="227E1361">
        <w:rPr>
          <w:rFonts w:eastAsia="Times New Roman"/>
        </w:rPr>
        <w:t xml:space="preserve"> refleja con precisión las prácticas utilizadas o que el solicitante utilizará para la certificación o la operación certificada; </w:t>
      </w:r>
    </w:p>
    <w:p w14:paraId="46BEA691" w14:textId="2FB353B4" w:rsidR="00CF204E" w:rsidRPr="008B5AB2" w:rsidRDefault="227E1361" w:rsidP="002735CF">
      <w:pPr>
        <w:pStyle w:val="ListParagraph"/>
        <w:numPr>
          <w:ilvl w:val="1"/>
          <w:numId w:val="12"/>
        </w:numPr>
        <w:rPr>
          <w:rFonts w:eastAsia="Times New Roman"/>
          <w:lang w:val="es-ES"/>
        </w:rPr>
      </w:pPr>
      <w:r w:rsidRPr="227E1361">
        <w:rPr>
          <w:rFonts w:eastAsia="Times New Roman"/>
        </w:rPr>
        <w:t xml:space="preserve">Que sustancias prohibidas no se han utilizado y no se están utilizando en una operación que solicita la certificación. QCS puede indicar al inspector que recolecte y analice muestras de suelo, agua, desechos, semillas, tejidos vegetales, y productos vegetales, animales y alimentos procesados para verificar el cumplimiento; </w:t>
      </w:r>
    </w:p>
    <w:p w14:paraId="1A82DBC2" w14:textId="6E240664" w:rsidR="004607A8" w:rsidRPr="004F33C1" w:rsidRDefault="003B794E" w:rsidP="002735CF">
      <w:pPr>
        <w:pStyle w:val="ListParagraph"/>
        <w:numPr>
          <w:ilvl w:val="1"/>
          <w:numId w:val="12"/>
        </w:numPr>
        <w:rPr>
          <w:rFonts w:eastAsia="Times New Roman"/>
          <w:lang w:val="es-ES"/>
        </w:rPr>
      </w:pPr>
      <w:r w:rsidRPr="003B794E">
        <w:rPr>
          <w:rFonts w:eastAsia="Times New Roman"/>
          <w:lang w:val="es-ES"/>
        </w:rPr>
        <w:t>Que un seguimiento de auditoría se desarrolle y mantenga lo suficiente para garantizar que toda la producción orgánica pueda rastrearse a través del sistema (es decir, auditoría de balance de entrada/</w:t>
      </w:r>
      <w:r w:rsidR="00B54021">
        <w:rPr>
          <w:rFonts w:eastAsia="Times New Roman"/>
          <w:lang w:val="es-ES"/>
        </w:rPr>
        <w:t xml:space="preserve">insumo y </w:t>
      </w:r>
      <w:r w:rsidRPr="003B794E">
        <w:rPr>
          <w:rFonts w:eastAsia="Times New Roman"/>
          <w:lang w:val="es-ES"/>
        </w:rPr>
        <w:t>salida</w:t>
      </w:r>
      <w:r w:rsidR="00B54021">
        <w:rPr>
          <w:rFonts w:eastAsia="Times New Roman"/>
          <w:lang w:val="es-ES"/>
        </w:rPr>
        <w:t>/venta</w:t>
      </w:r>
      <w:r w:rsidRPr="003B794E">
        <w:rPr>
          <w:rFonts w:eastAsia="Times New Roman"/>
          <w:lang w:val="es-ES"/>
        </w:rPr>
        <w:t xml:space="preserve">, balance de masa) y el riesgo de contaminación se gestione en consecuencia. Los registros auditados incluyen, pero no se limitan a; registros de origen de semillas/ ingredientes, registros de producción, monitoreo, almacenamiento, transporte, inventario, registros de compra y venta, contabilidad y </w:t>
      </w:r>
      <w:r w:rsidR="00896096" w:rsidRPr="005879E3">
        <w:rPr>
          <w:rFonts w:eastAsia="Times New Roman" w:cstheme="minorHAnsi"/>
          <w:lang w:val="es-ES"/>
        </w:rPr>
        <w:t>querella</w:t>
      </w:r>
      <w:r w:rsidRPr="005879E3">
        <w:rPr>
          <w:rFonts w:eastAsia="Times New Roman" w:cstheme="minorHAnsi"/>
          <w:lang w:val="es-ES"/>
        </w:rPr>
        <w:t>s)</w:t>
      </w:r>
      <w:r w:rsidR="005879E3" w:rsidRPr="00D00620">
        <w:rPr>
          <w:rFonts w:eastAsia="Times New Roman" w:cstheme="minorHAnsi"/>
          <w:lang w:val="es-ES"/>
        </w:rPr>
        <w:t>.</w:t>
      </w:r>
    </w:p>
    <w:p w14:paraId="46C8FD5E" w14:textId="78D1A35A" w:rsidR="00CF204E" w:rsidRPr="00077910" w:rsidRDefault="00D90DF9" w:rsidP="00F62968">
      <w:pPr>
        <w:pStyle w:val="Heading4"/>
        <w:rPr>
          <w:u w:val="none"/>
          <w:lang w:val="es-ES"/>
        </w:rPr>
      </w:pPr>
      <w:r w:rsidRPr="227E1361">
        <w:rPr>
          <w:lang w:val="es-ES"/>
        </w:rPr>
        <w:t xml:space="preserve">Reunión </w:t>
      </w:r>
      <w:r w:rsidR="00BD775E" w:rsidRPr="227E1361">
        <w:rPr>
          <w:lang w:val="es-ES"/>
        </w:rPr>
        <w:t>de Cierre</w:t>
      </w:r>
      <w:r w:rsidR="00CF204E" w:rsidRPr="00077910">
        <w:rPr>
          <w:u w:val="none"/>
          <w:vertAlign w:val="superscript"/>
        </w:rPr>
        <w:footnoteReference w:id="15"/>
      </w:r>
    </w:p>
    <w:p w14:paraId="27ACD6D1" w14:textId="6736EF9B" w:rsidR="00EF54E1" w:rsidRPr="00BD775E" w:rsidRDefault="227E1361" w:rsidP="00337BBD">
      <w:pPr>
        <w:rPr>
          <w:rFonts w:eastAsia="Times New Roman"/>
          <w:lang w:val="es-ES"/>
        </w:rPr>
      </w:pPr>
      <w:r w:rsidRPr="227E1361">
        <w:rPr>
          <w:rFonts w:eastAsia="Times New Roman"/>
        </w:rPr>
        <w:t xml:space="preserve">El inspector realiza una entrevista de cierre con un agente autorizado de la operación a fin de confirmar la precisión y la integridad de las observaciones de la inspección y la información recopilada durante la inspección. El inspector utiliza el formulario de entrevista de cierre de QCS para resumir los resultados de la inspección, incluidos: cambios en el </w:t>
      </w:r>
      <w:r w:rsidR="00C04921">
        <w:rPr>
          <w:rFonts w:eastAsia="Times New Roman"/>
        </w:rPr>
        <w:t>plan de sistema orgánico</w:t>
      </w:r>
      <w:r w:rsidRPr="227E1361">
        <w:rPr>
          <w:rFonts w:eastAsia="Times New Roman"/>
        </w:rPr>
        <w:t>; cuestiones de interés y normas aplicables; e información adicional que el certificador pueda necesitar para evaluar el cumplimiento. Se espera que el solicitante lea todos los elementos descritos en el Formulario de Entrevista de Cierre y firme este documento para reconocer la precisión de los elementos explicados en la entrevista de cierre.</w:t>
      </w:r>
    </w:p>
    <w:p w14:paraId="7086B5B0" w14:textId="11066390" w:rsidR="00CF204E" w:rsidRPr="00BD775E" w:rsidRDefault="227E1361" w:rsidP="00337BBD">
      <w:pPr>
        <w:rPr>
          <w:rFonts w:eastAsia="Times New Roman"/>
          <w:lang w:val="es-ES"/>
        </w:rPr>
      </w:pPr>
      <w:r w:rsidRPr="227E1361">
        <w:rPr>
          <w:rFonts w:eastAsia="Times New Roman"/>
        </w:rPr>
        <w:lastRenderedPageBreak/>
        <w:t>El inspector le entrega al solicitante un recibo por las muestras tomadas durante la inspección.</w:t>
      </w:r>
      <w:r w:rsidR="00C2598D">
        <w:rPr>
          <w:rFonts w:eastAsia="Times New Roman"/>
        </w:rPr>
        <w:t xml:space="preserve"> </w:t>
      </w:r>
    </w:p>
    <w:p w14:paraId="25A6DAA0" w14:textId="16D37F4E" w:rsidR="00CF204E" w:rsidRPr="00A367FC" w:rsidRDefault="227E1361" w:rsidP="00337BBD">
      <w:pPr>
        <w:rPr>
          <w:rFonts w:eastAsia="Times New Roman"/>
          <w:lang w:val="es-ES"/>
        </w:rPr>
      </w:pPr>
      <w:r w:rsidRPr="227E1361">
        <w:rPr>
          <w:rFonts w:eastAsia="Times New Roman"/>
        </w:rPr>
        <w:t xml:space="preserve">En general, se espera que el inspector complete y presente el informe de inspección a QCS dentro de los 30 días de la asignación. Dentro de un tiempo razonable, QCS reenvía el informe de inspección y los resultados de las muestras tomadas al cliente al mismo tiempo que envía la decisión sobre la certificación, según la Concesión de Certificación. </w:t>
      </w:r>
    </w:p>
    <w:p w14:paraId="2CEBAA70" w14:textId="101261FF" w:rsidR="00CF204E" w:rsidRPr="00653122" w:rsidRDefault="227E1361" w:rsidP="00F62968">
      <w:pPr>
        <w:pStyle w:val="Heading2"/>
        <w:rPr>
          <w:lang w:val="es-ES"/>
        </w:rPr>
      </w:pPr>
      <w:bookmarkStart w:id="67" w:name="_Toc424898868"/>
      <w:bookmarkStart w:id="68" w:name="_Toc424899260"/>
      <w:bookmarkStart w:id="69" w:name="_Toc500935048"/>
      <w:r w:rsidRPr="227E1361">
        <w:t>CUARTO PASO</w:t>
      </w:r>
      <w:bookmarkEnd w:id="67"/>
      <w:bookmarkEnd w:id="68"/>
      <w:bookmarkEnd w:id="69"/>
      <w:r w:rsidR="00E976C5">
        <w:tab/>
      </w:r>
      <w:r w:rsidRPr="227E1361">
        <w:t>Determinación de la Certificación</w:t>
      </w:r>
    </w:p>
    <w:p w14:paraId="67F647C0" w14:textId="01548543" w:rsidR="00CF204E" w:rsidRPr="00653122" w:rsidRDefault="227E1361" w:rsidP="00337BBD">
      <w:pPr>
        <w:rPr>
          <w:rFonts w:eastAsia="Times New Roman"/>
          <w:lang w:val="es-ES"/>
        </w:rPr>
      </w:pPr>
      <w:r w:rsidRPr="227E1361">
        <w:rPr>
          <w:rFonts w:eastAsia="Times New Roman"/>
        </w:rPr>
        <w:t>Los Revisores de Certificación QCS son los únicos delegados de QCS con la autoridad para otorgar, mantener, extender, denegar o suspender la certificación.</w:t>
      </w:r>
      <w:r w:rsidR="00C2598D">
        <w:rPr>
          <w:rFonts w:eastAsia="Times New Roman"/>
        </w:rPr>
        <w:t xml:space="preserve"> </w:t>
      </w:r>
    </w:p>
    <w:p w14:paraId="2FACB66D" w14:textId="3DCD85D3" w:rsidR="00653122" w:rsidRPr="00AF4263" w:rsidRDefault="227E1361" w:rsidP="00771F45">
      <w:pPr>
        <w:pStyle w:val="Heading3"/>
        <w:rPr>
          <w:b w:val="0"/>
          <w:lang w:val="es-ES"/>
        </w:rPr>
      </w:pPr>
      <w:r w:rsidRPr="227E1361">
        <w:t>Revisión de Certificación</w:t>
      </w:r>
    </w:p>
    <w:p w14:paraId="11CECC41" w14:textId="77777777" w:rsidR="00653122" w:rsidRPr="00653122" w:rsidRDefault="227E1361" w:rsidP="00337BBD">
      <w:pPr>
        <w:rPr>
          <w:rFonts w:eastAsia="Times New Roman"/>
          <w:lang w:val="es-ES"/>
        </w:rPr>
      </w:pPr>
      <w:r w:rsidRPr="227E1361">
        <w:rPr>
          <w:rFonts w:eastAsia="Times New Roman"/>
        </w:rPr>
        <w:t>Un revisor de certificación de QCS realiza una revisión final de la siguiente información para determinar el cumplimiento del cliente con los estándares por categoría y alcance de la certificación:</w:t>
      </w:r>
    </w:p>
    <w:p w14:paraId="457E8560" w14:textId="6F0D64BC" w:rsidR="00653122" w:rsidRPr="00653122" w:rsidRDefault="227E1361" w:rsidP="002735CF">
      <w:pPr>
        <w:pStyle w:val="ListParagraph"/>
        <w:numPr>
          <w:ilvl w:val="0"/>
          <w:numId w:val="34"/>
        </w:numPr>
        <w:ind w:left="360"/>
        <w:rPr>
          <w:rFonts w:eastAsia="Times New Roman"/>
          <w:lang w:val="es-ES"/>
        </w:rPr>
      </w:pPr>
      <w:r w:rsidRPr="227E1361">
        <w:rPr>
          <w:rFonts w:eastAsia="Times New Roman"/>
        </w:rPr>
        <w:t>Informe de inspección y documentación de respaldo,</w:t>
      </w:r>
    </w:p>
    <w:p w14:paraId="21CF815A" w14:textId="37E0621D" w:rsidR="00653122" w:rsidRPr="00653122" w:rsidRDefault="227E1361" w:rsidP="002735CF">
      <w:pPr>
        <w:pStyle w:val="ListParagraph"/>
        <w:numPr>
          <w:ilvl w:val="0"/>
          <w:numId w:val="34"/>
        </w:numPr>
        <w:ind w:left="360"/>
        <w:rPr>
          <w:rFonts w:eastAsia="Times New Roman"/>
          <w:lang w:val="es-ES"/>
        </w:rPr>
      </w:pPr>
      <w:r w:rsidRPr="227E1361">
        <w:rPr>
          <w:rFonts w:eastAsia="Times New Roman"/>
        </w:rPr>
        <w:t>Resultados de cualquier análisis de sustancias realizado, y</w:t>
      </w:r>
    </w:p>
    <w:p w14:paraId="36DF9E52" w14:textId="7A42D60A" w:rsidR="00CF204E" w:rsidRPr="00653122" w:rsidRDefault="227E1361" w:rsidP="002735CF">
      <w:pPr>
        <w:pStyle w:val="ListParagraph"/>
        <w:numPr>
          <w:ilvl w:val="0"/>
          <w:numId w:val="34"/>
        </w:numPr>
        <w:ind w:left="360"/>
        <w:rPr>
          <w:rFonts w:eastAsia="Times New Roman"/>
          <w:lang w:val="es-ES"/>
        </w:rPr>
      </w:pPr>
      <w:r w:rsidRPr="227E1361">
        <w:rPr>
          <w:rFonts w:eastAsia="Times New Roman"/>
        </w:rPr>
        <w:t>Cualquier información adicional solicitada o suministrada por el solicitante.</w:t>
      </w:r>
    </w:p>
    <w:p w14:paraId="22A5E0D2" w14:textId="1F319D67" w:rsidR="00490AA8" w:rsidRPr="00490AA8" w:rsidRDefault="227E1361" w:rsidP="00337BBD">
      <w:pPr>
        <w:rPr>
          <w:rFonts w:ascii="Calibri" w:eastAsia="Times New Roman" w:hAnsi="Calibri" w:cs="Calibri"/>
        </w:rPr>
      </w:pPr>
      <w:r w:rsidRPr="227E1361">
        <w:rPr>
          <w:rFonts w:eastAsia="Times New Roman"/>
        </w:rPr>
        <w:t xml:space="preserve">QCS puede en cualquier momento del proceso de decisión de certificación solicitar más información para determinar el cumplimiento de las normas pertinentes. Cualquier solicitud de más información puede prolongar el tiempo </w:t>
      </w:r>
      <w:r w:rsidRPr="227E1361">
        <w:rPr>
          <w:rFonts w:ascii="Calibri" w:eastAsia="Calibri" w:hAnsi="Calibri" w:cs="Calibri"/>
        </w:rPr>
        <w:t>estimado</w:t>
      </w:r>
      <w:r w:rsidRPr="227E1361">
        <w:rPr>
          <w:rFonts w:eastAsia="Times New Roman"/>
        </w:rPr>
        <w:t xml:space="preserve"> de respuesta. </w:t>
      </w:r>
      <w:r w:rsidRPr="227E1361">
        <w:rPr>
          <w:rFonts w:ascii="Calibri" w:eastAsia="Times New Roman" w:hAnsi="Calibri" w:cs="Calibri"/>
        </w:rPr>
        <w:t xml:space="preserve">QCS proporciona una copia del informe de inspección in situ y los resultados de las pruebas de las muestras tomadas por el inspector durante o al finalizar la revisión de la certificación. </w:t>
      </w:r>
      <w:r w:rsidRPr="227E1361">
        <w:rPr>
          <w:rFonts w:eastAsia="Times New Roman"/>
        </w:rPr>
        <w:t xml:space="preserve">Cuando se llega a una decisión, </w:t>
      </w:r>
      <w:r w:rsidRPr="227E1361">
        <w:rPr>
          <w:rFonts w:ascii="Calibri" w:eastAsia="Times New Roman" w:hAnsi="Calibri" w:cs="Calibri"/>
        </w:rPr>
        <w:t>se envían al cliente la(s) carta(s) de decisión y los certificados correspondientes y una factura por los honorarios restantes.</w:t>
      </w:r>
    </w:p>
    <w:p w14:paraId="5B612E46" w14:textId="260C5D77" w:rsidR="00AA5DC9" w:rsidRPr="00AF4263" w:rsidRDefault="227E1361" w:rsidP="00F62968">
      <w:pPr>
        <w:pStyle w:val="Heading3"/>
        <w:rPr>
          <w:b w:val="0"/>
          <w:lang w:val="es-ES"/>
        </w:rPr>
      </w:pPr>
      <w:bookmarkStart w:id="70" w:name="_Toc27271788"/>
      <w:bookmarkStart w:id="71" w:name="_Toc24602724"/>
      <w:bookmarkStart w:id="72" w:name="_Toc19928432"/>
      <w:r w:rsidRPr="227E1361">
        <w:t>Concesión de la Certificación</w:t>
      </w:r>
    </w:p>
    <w:p w14:paraId="72678A90" w14:textId="1992ACFC" w:rsidR="00CF204E" w:rsidRPr="00275269" w:rsidRDefault="227E1361" w:rsidP="00337BBD">
      <w:pPr>
        <w:rPr>
          <w:rFonts w:eastAsia="Times New Roman" w:cs="Formata-Regular"/>
          <w:sz w:val="20"/>
          <w:szCs w:val="20"/>
          <w:lang w:val="es-ES"/>
        </w:rPr>
      </w:pPr>
      <w:r w:rsidRPr="227E1361">
        <w:rPr>
          <w:rFonts w:eastAsia="Times New Roman"/>
        </w:rPr>
        <w:t xml:space="preserve">Si el </w:t>
      </w:r>
      <w:r w:rsidR="00C04921">
        <w:rPr>
          <w:rFonts w:eastAsia="Times New Roman"/>
        </w:rPr>
        <w:t>plan de sistema orgánico</w:t>
      </w:r>
      <w:r w:rsidRPr="227E1361">
        <w:rPr>
          <w:rFonts w:eastAsia="Times New Roman"/>
        </w:rPr>
        <w:t xml:space="preserve"> y todos los procedimientos y actividades de la operación del solicitante cumplen con los requisitos de las Normas aplicables, y QCS determina que el solicitante ha estado y puede operar de acuerdo con el </w:t>
      </w:r>
      <w:r w:rsidR="00C04921">
        <w:rPr>
          <w:rFonts w:eastAsia="Times New Roman"/>
        </w:rPr>
        <w:t>plan de sistema orgánico</w:t>
      </w:r>
      <w:r w:rsidRPr="227E1361">
        <w:rPr>
          <w:rFonts w:eastAsia="Times New Roman"/>
        </w:rPr>
        <w:t>, entonces se otorga la certificación.</w:t>
      </w:r>
      <w:r w:rsidRPr="227E1361">
        <w:rPr>
          <w:rFonts w:eastAsia="Times New Roman"/>
          <w:b/>
          <w:bCs/>
        </w:rPr>
        <w:t xml:space="preserve"> </w:t>
      </w:r>
      <w:r w:rsidRPr="227E1361">
        <w:rPr>
          <w:rFonts w:eastAsia="Times New Roman"/>
        </w:rPr>
        <w:t>La certificación puede incluir requisitos para la corrección de incumplimientos menores dentro de un período de tiempo específico; excepto en el caso de las certificaciones COR, en cuyo caso, todos los incumplimientos deben corregirse antes de otorgar la certificación.</w:t>
      </w:r>
    </w:p>
    <w:p w14:paraId="07494305" w14:textId="54DCC847" w:rsidR="00C21093" w:rsidRPr="00C21093" w:rsidRDefault="227E1361" w:rsidP="00337BBD">
      <w:pPr>
        <w:spacing w:line="240" w:lineRule="auto"/>
        <w:rPr>
          <w:rFonts w:eastAsia="Times New Roman"/>
        </w:rPr>
      </w:pPr>
      <w:r w:rsidRPr="227E1361">
        <w:rPr>
          <w:rFonts w:eastAsia="Calibri"/>
        </w:rPr>
        <w:t>Cuando se otorga la certificación, QCS emite un certificado a la operación orgánica que especifica como mínimo:</w:t>
      </w:r>
    </w:p>
    <w:p w14:paraId="7C669C3C" w14:textId="12F23C98" w:rsidR="007C4EB3" w:rsidRPr="007C4EB3" w:rsidRDefault="227E1361" w:rsidP="002735CF">
      <w:pPr>
        <w:pStyle w:val="ListParagraph"/>
        <w:numPr>
          <w:ilvl w:val="0"/>
          <w:numId w:val="13"/>
        </w:numPr>
        <w:rPr>
          <w:rFonts w:eastAsia="Times New Roman"/>
          <w:lang w:val="es-ES"/>
        </w:rPr>
      </w:pPr>
      <w:r w:rsidRPr="227E1361">
        <w:rPr>
          <w:rFonts w:eastAsia="Times New Roman"/>
        </w:rPr>
        <w:t>El nombre de la operación certificada (todos los nombres legales) y las direcciones, incluida una dirección física si la dirección postal o legal no es la ubicación física de la operación;</w:t>
      </w:r>
    </w:p>
    <w:p w14:paraId="07849AB8" w14:textId="7E48F1C8" w:rsidR="007C4EB3" w:rsidRPr="007C4EB3" w:rsidRDefault="227E1361" w:rsidP="002735CF">
      <w:pPr>
        <w:pStyle w:val="ListParagraph"/>
        <w:numPr>
          <w:ilvl w:val="0"/>
          <w:numId w:val="13"/>
        </w:numPr>
        <w:rPr>
          <w:rFonts w:eastAsia="Times New Roman"/>
          <w:lang w:val="es-ES"/>
        </w:rPr>
      </w:pPr>
      <w:r w:rsidRPr="227E1361">
        <w:rPr>
          <w:rFonts w:eastAsia="Times New Roman"/>
        </w:rPr>
        <w:t>El nombre, la dirección, el sitio web y el número de teléfono del agente certificador;</w:t>
      </w:r>
    </w:p>
    <w:p w14:paraId="05302E22" w14:textId="18E239F5" w:rsidR="007C4EB3" w:rsidRPr="007C4EB3" w:rsidRDefault="227E1361" w:rsidP="002735CF">
      <w:pPr>
        <w:pStyle w:val="ListParagraph"/>
        <w:numPr>
          <w:ilvl w:val="0"/>
          <w:numId w:val="13"/>
        </w:numPr>
        <w:rPr>
          <w:rFonts w:eastAsia="Times New Roman"/>
          <w:lang w:val="es-ES"/>
        </w:rPr>
      </w:pPr>
      <w:r w:rsidRPr="227E1361">
        <w:rPr>
          <w:rFonts w:eastAsia="Times New Roman"/>
        </w:rPr>
        <w:t>La fecha de vigencia de la certificación;</w:t>
      </w:r>
    </w:p>
    <w:p w14:paraId="2466850D" w14:textId="45EF682E" w:rsidR="007C4EB3" w:rsidRPr="007C4EB3" w:rsidRDefault="227E1361" w:rsidP="002735CF">
      <w:pPr>
        <w:pStyle w:val="ListParagraph"/>
        <w:numPr>
          <w:ilvl w:val="0"/>
          <w:numId w:val="13"/>
        </w:numPr>
        <w:rPr>
          <w:rFonts w:eastAsia="Times New Roman"/>
        </w:rPr>
      </w:pPr>
      <w:r w:rsidRPr="227E1361">
        <w:rPr>
          <w:rFonts w:eastAsia="Times New Roman"/>
        </w:rPr>
        <w:t>La fecha de emisión;</w:t>
      </w:r>
    </w:p>
    <w:p w14:paraId="0C0B0E21" w14:textId="561C7640" w:rsidR="007C4EB3" w:rsidRPr="007C4EB3" w:rsidRDefault="227E1361" w:rsidP="002735CF">
      <w:pPr>
        <w:pStyle w:val="ListParagraph"/>
        <w:numPr>
          <w:ilvl w:val="0"/>
          <w:numId w:val="13"/>
        </w:numPr>
        <w:rPr>
          <w:rFonts w:eastAsia="Times New Roman"/>
          <w:lang w:val="es-ES"/>
        </w:rPr>
      </w:pPr>
      <w:r w:rsidRPr="227E1361">
        <w:rPr>
          <w:rFonts w:eastAsia="Times New Roman"/>
        </w:rPr>
        <w:t>La fecha de aniversario; (la fecha en la cual el operador debe presentar la información de renovación de la certificación anual para la continuación de la certificación).</w:t>
      </w:r>
    </w:p>
    <w:p w14:paraId="1F29C9A1" w14:textId="2E40A71D" w:rsidR="007C4EB3" w:rsidRPr="007C4EB3" w:rsidRDefault="227E1361" w:rsidP="002735CF">
      <w:pPr>
        <w:pStyle w:val="ListParagraph"/>
        <w:numPr>
          <w:ilvl w:val="0"/>
          <w:numId w:val="13"/>
        </w:numPr>
        <w:rPr>
          <w:rFonts w:eastAsia="Times New Roman"/>
          <w:lang w:val="es-ES"/>
        </w:rPr>
      </w:pPr>
      <w:r w:rsidRPr="227E1361">
        <w:rPr>
          <w:rFonts w:eastAsia="Times New Roman"/>
        </w:rPr>
        <w:t>Categorías de operación orgánica (alcance (s));</w:t>
      </w:r>
    </w:p>
    <w:p w14:paraId="10882546" w14:textId="55A39C90" w:rsidR="007E4E30" w:rsidRPr="007C4EB3" w:rsidRDefault="227E1361" w:rsidP="002735CF">
      <w:pPr>
        <w:pStyle w:val="ListParagraph"/>
        <w:numPr>
          <w:ilvl w:val="0"/>
          <w:numId w:val="13"/>
        </w:numPr>
        <w:rPr>
          <w:rFonts w:eastAsia="Times New Roman"/>
          <w:lang w:val="es-ES"/>
        </w:rPr>
      </w:pPr>
      <w:r w:rsidRPr="227E1361">
        <w:rPr>
          <w:rFonts w:eastAsia="Times New Roman"/>
        </w:rPr>
        <w:t>Los productos orgánicos certificados específicos cubiertos por el certificado orgánico aparecen en el anexo del Formulario de Verificación de Productos;</w:t>
      </w:r>
    </w:p>
    <w:p w14:paraId="520AB1CA" w14:textId="62FCE2EE" w:rsidR="00CF204E" w:rsidRPr="00264808" w:rsidRDefault="227E1361" w:rsidP="002735CF">
      <w:pPr>
        <w:pStyle w:val="ListParagraph"/>
        <w:numPr>
          <w:ilvl w:val="0"/>
          <w:numId w:val="13"/>
        </w:numPr>
        <w:rPr>
          <w:rFonts w:eastAsia="Times New Roman"/>
          <w:lang w:val="es-ES"/>
        </w:rPr>
      </w:pPr>
      <w:r w:rsidRPr="227E1361">
        <w:rPr>
          <w:rFonts w:eastAsia="Times New Roman"/>
        </w:rPr>
        <w:lastRenderedPageBreak/>
        <w:t>Categoría de etiquetado para cada producto certificado bajo la categoría de certificación de manipulación/procesamiento; (por ejemplo, 100% orgánico, orgánico, Hecho con &lt;ingrediente&gt; orgánico, descripción del producto).</w:t>
      </w:r>
    </w:p>
    <w:p w14:paraId="7F537788" w14:textId="2E4332B4" w:rsidR="007E4E30" w:rsidRPr="00C56FAB" w:rsidRDefault="227E1361" w:rsidP="00337BBD">
      <w:pPr>
        <w:rPr>
          <w:rFonts w:eastAsia="Times New Roman"/>
          <w:lang w:val="es-ES"/>
        </w:rPr>
      </w:pPr>
      <w:r w:rsidRPr="227E1361">
        <w:rPr>
          <w:rFonts w:eastAsia="Times New Roman"/>
        </w:rPr>
        <w:t>El certificado también debe indicar:</w:t>
      </w:r>
    </w:p>
    <w:p w14:paraId="4E5757DA" w14:textId="305F9BBE" w:rsidR="003562EA" w:rsidRPr="003562EA" w:rsidRDefault="227E1361" w:rsidP="00121B05">
      <w:pPr>
        <w:ind w:left="720" w:hanging="360"/>
        <w:contextualSpacing/>
        <w:rPr>
          <w:rFonts w:eastAsia="Times New Roman"/>
          <w:lang w:val="es-ES"/>
        </w:rPr>
      </w:pPr>
      <w:r w:rsidRPr="227E1361">
        <w:rPr>
          <w:rFonts w:eastAsia="Times New Roman"/>
        </w:rPr>
        <w:t xml:space="preserve">9) </w:t>
      </w:r>
      <w:r w:rsidR="003562EA">
        <w:tab/>
      </w:r>
      <w:r w:rsidRPr="227E1361">
        <w:rPr>
          <w:rFonts w:eastAsia="Times New Roman"/>
        </w:rPr>
        <w:t xml:space="preserve">Las regulaciones y partes de </w:t>
      </w:r>
      <w:proofErr w:type="gramStart"/>
      <w:r w:rsidRPr="227E1361">
        <w:rPr>
          <w:rFonts w:eastAsia="Times New Roman"/>
        </w:rPr>
        <w:t>las mismas</w:t>
      </w:r>
      <w:proofErr w:type="gramEnd"/>
      <w:r w:rsidRPr="227E1361">
        <w:rPr>
          <w:rFonts w:eastAsia="Times New Roman"/>
        </w:rPr>
        <w:t xml:space="preserve"> en las cuales la operación está certificada.</w:t>
      </w:r>
    </w:p>
    <w:p w14:paraId="527B4BDA" w14:textId="719B8B0C" w:rsidR="00AB499D" w:rsidRDefault="227E1361" w:rsidP="00121B05">
      <w:pPr>
        <w:ind w:left="720" w:hanging="360"/>
        <w:contextualSpacing/>
        <w:rPr>
          <w:rFonts w:eastAsia="Times New Roman"/>
          <w:lang w:val="es-ES"/>
        </w:rPr>
      </w:pPr>
      <w:r w:rsidRPr="227E1361">
        <w:rPr>
          <w:rFonts w:eastAsia="Times New Roman"/>
        </w:rPr>
        <w:t>10)</w:t>
      </w:r>
      <w:r w:rsidR="003562EA">
        <w:tab/>
      </w:r>
      <w:r w:rsidRPr="227E1361">
        <w:rPr>
          <w:rFonts w:eastAsia="Times New Roman"/>
        </w:rPr>
        <w:t>La declaración: "Una vez certificada, la certificación orgánica de una operación de producción o manejo continúa vigente hasta que se entregue, suspenda o revoque"</w:t>
      </w:r>
    </w:p>
    <w:p w14:paraId="67354DBF" w14:textId="230B9E71" w:rsidR="00B94A31" w:rsidRDefault="00B94A31" w:rsidP="00966C35">
      <w:pPr>
        <w:spacing w:before="120"/>
        <w:rPr>
          <w:rFonts w:eastAsia="Times New Roman"/>
        </w:rPr>
      </w:pPr>
      <w:r>
        <w:rPr>
          <w:rFonts w:eastAsia="Times New Roman"/>
        </w:rPr>
        <w:t xml:space="preserve">Para el programa del NOP, </w:t>
      </w:r>
      <w:r w:rsidR="00F37D88" w:rsidRPr="00F37D88">
        <w:rPr>
          <w:rFonts w:eastAsia="Times New Roman"/>
        </w:rPr>
        <w:t xml:space="preserve">QCS emite certificados orgánicos a través de la Base de Datos de Integridad Orgánica y puede proporcionarse electrónicamente a las operaciones </w:t>
      </w:r>
      <w:r w:rsidR="00F37D88" w:rsidRPr="009E2DB0">
        <w:rPr>
          <w:rFonts w:eastAsia="Times New Roman" w:cstheme="minorHAnsi"/>
        </w:rPr>
        <w:t>certificadas</w:t>
      </w:r>
      <w:r w:rsidR="00F37D88" w:rsidRPr="00966C35">
        <w:rPr>
          <w:rStyle w:val="FootnoteReference"/>
          <w:rFonts w:asciiTheme="minorHAnsi" w:eastAsia="Times New Roman" w:hAnsiTheme="minorHAnsi" w:cstheme="minorHAnsi"/>
        </w:rPr>
        <w:footnoteReference w:id="16"/>
      </w:r>
      <w:r w:rsidR="00F37D88" w:rsidRPr="00F37D88">
        <w:rPr>
          <w:rFonts w:eastAsia="Times New Roman"/>
        </w:rPr>
        <w:t>.</w:t>
      </w:r>
      <w:r w:rsidR="00F37D88">
        <w:rPr>
          <w:rFonts w:eastAsia="Times New Roman"/>
        </w:rPr>
        <w:t xml:space="preserve"> </w:t>
      </w:r>
    </w:p>
    <w:p w14:paraId="74E4DC70" w14:textId="0A046F7A" w:rsidR="00A14DD0" w:rsidRPr="009342A0" w:rsidRDefault="227E1361" w:rsidP="00337BBD">
      <w:pPr>
        <w:rPr>
          <w:rFonts w:eastAsia="Times New Roman"/>
          <w:lang w:val="es-ES"/>
        </w:rPr>
      </w:pPr>
      <w:r w:rsidRPr="227E1361">
        <w:rPr>
          <w:rFonts w:eastAsia="Times New Roman"/>
        </w:rPr>
        <w:t xml:space="preserve">Para el programa COR, </w:t>
      </w:r>
      <w:r w:rsidRPr="227E1361">
        <w:rPr>
          <w:rFonts w:ascii="Calibri" w:eastAsia="Calibri" w:hAnsi="Calibri" w:cs="Calibri"/>
        </w:rPr>
        <w:t>también se emiten</w:t>
      </w:r>
      <w:r w:rsidRPr="227E1361">
        <w:rPr>
          <w:rFonts w:eastAsia="Times New Roman"/>
        </w:rPr>
        <w:t xml:space="preserve"> certificados adicionales o certificados con variaciones de lo anterior: </w:t>
      </w:r>
    </w:p>
    <w:p w14:paraId="0AE9ADDA" w14:textId="13CAAD7D" w:rsidR="00A14DD0" w:rsidRPr="00AB499D" w:rsidRDefault="227E1361" w:rsidP="002735CF">
      <w:pPr>
        <w:pStyle w:val="ListParagraph"/>
        <w:numPr>
          <w:ilvl w:val="0"/>
          <w:numId w:val="23"/>
        </w:numPr>
        <w:rPr>
          <w:rFonts w:eastAsia="Times New Roman"/>
          <w:lang w:val="es-ES"/>
        </w:rPr>
      </w:pPr>
      <w:r w:rsidRPr="227E1361">
        <w:rPr>
          <w:rFonts w:eastAsia="Times New Roman"/>
        </w:rPr>
        <w:t>Para productos alimenticios con múltiples ingredientes, las declaraciones de porcentaje deben estar en el certificado, ya sea que al menos el 70% de su contenido sean productos orgánicos o que al menos el 95% de su contenido sean productos orgánicos. COR no permite la declaración de 100% orgánico.</w:t>
      </w:r>
    </w:p>
    <w:p w14:paraId="2BE3D2AE" w14:textId="4969AA79" w:rsidR="007C5915" w:rsidRPr="00AF3795" w:rsidRDefault="227E1361" w:rsidP="002735CF">
      <w:pPr>
        <w:pStyle w:val="ListParagraph"/>
        <w:numPr>
          <w:ilvl w:val="0"/>
          <w:numId w:val="23"/>
        </w:numPr>
        <w:rPr>
          <w:rFonts w:eastAsia="Times New Roman"/>
          <w:lang w:val="es-ES"/>
        </w:rPr>
      </w:pPr>
      <w:r w:rsidRPr="227E1361">
        <w:rPr>
          <w:rFonts w:eastAsia="Times New Roman"/>
        </w:rPr>
        <w:t>Los certificados emitidos para aquellos que solo realizan Empaque y Etiquetado incluyen un período de validez de 12 meses.</w:t>
      </w:r>
    </w:p>
    <w:p w14:paraId="41BF2CBB" w14:textId="6F6A24E8" w:rsidR="00A14DD0" w:rsidRPr="004776E2" w:rsidRDefault="227E1361" w:rsidP="002735CF">
      <w:pPr>
        <w:pStyle w:val="ListParagraph"/>
        <w:numPr>
          <w:ilvl w:val="0"/>
          <w:numId w:val="23"/>
        </w:numPr>
        <w:rPr>
          <w:rFonts w:eastAsia="Times New Roman"/>
          <w:lang w:val="es-ES"/>
        </w:rPr>
      </w:pPr>
      <w:r w:rsidRPr="227E1361">
        <w:rPr>
          <w:rFonts w:eastAsia="Times New Roman"/>
        </w:rPr>
        <w:t>Se emite un</w:t>
      </w:r>
      <w:r w:rsidR="009E2DB0">
        <w:rPr>
          <w:rFonts w:eastAsia="Times New Roman"/>
        </w:rPr>
        <w:t xml:space="preserve">a Atestación de Cumplimiento </w:t>
      </w:r>
      <w:r w:rsidRPr="227E1361">
        <w:rPr>
          <w:rFonts w:eastAsia="Times New Roman"/>
        </w:rPr>
        <w:t>para las operaciones que realizan actividades físicas con respecto al producto orgánico (por ejemplo, sacrificio donde la carne no está empacada y etiquetada, almacenamiento, limpieza de semillas y otros servicios personalizados para productos orgánicos a granel donde la propiedad de los productos permanece con el productor /procesador primario) que aún no está en un empaque impermeable, con la excepción de venta minorista y transporte.</w:t>
      </w:r>
    </w:p>
    <w:p w14:paraId="1F968CD4" w14:textId="4931DAB5" w:rsidR="00E66370" w:rsidRPr="000E40C2" w:rsidRDefault="227E1361" w:rsidP="006C1183">
      <w:pPr>
        <w:spacing w:before="120"/>
        <w:rPr>
          <w:rFonts w:eastAsia="Calibri"/>
          <w:lang w:val="es-ES"/>
        </w:rPr>
      </w:pPr>
      <w:r w:rsidRPr="227E1361">
        <w:rPr>
          <w:rFonts w:eastAsia="Calibri"/>
        </w:rPr>
        <w:t>Anualmente, QCS emite los formularios de Verificación de Productos como un anexo al certificado que muestra los productos actualmente certificados.</w:t>
      </w:r>
    </w:p>
    <w:p w14:paraId="0999AE43" w14:textId="3F558FDD" w:rsidR="227E1361" w:rsidRPr="00FE7F19" w:rsidRDefault="227E1361" w:rsidP="00F62968">
      <w:pPr>
        <w:pStyle w:val="Heading3"/>
        <w:rPr>
          <w:b w:val="0"/>
          <w:lang w:val="es"/>
        </w:rPr>
      </w:pPr>
      <w:r w:rsidRPr="00FE7F19">
        <w:rPr>
          <w:lang w:val="es"/>
        </w:rPr>
        <w:t>Disposición de Certificación - Reglamento (UE) 2018/848</w:t>
      </w:r>
    </w:p>
    <w:p w14:paraId="4645B99F" w14:textId="1084A23B" w:rsidR="227E1361" w:rsidRPr="001B42B0" w:rsidRDefault="227E1361" w:rsidP="00161AE2">
      <w:pPr>
        <w:spacing w:after="120"/>
        <w:rPr>
          <w:rFonts w:cstheme="minorHAnsi"/>
          <w:lang w:val="es"/>
        </w:rPr>
      </w:pPr>
      <w:r w:rsidRPr="00FE7F19">
        <w:rPr>
          <w:lang w:val="es"/>
        </w:rPr>
        <w:t xml:space="preserve">Antes de la certificación, QCS debe recibir confirmación de que el operador o grupo de operadores no ha sido certificado por otro organismo de control en relación con actividades realizadas en el mismo tercer país con respecto a la misma categoría de productos, incluso en casos en los que los operadores o grupos de operadores operen en diferentes etapas de producción, preparación o distribución. Además, los miembros de un grupo de operadores deben confirmar que no han sido certificados individualmente para la misma actividad para un producto dado cubierto por la certificación del grupo de operadores al que </w:t>
      </w:r>
      <w:r w:rsidRPr="001B42B0">
        <w:rPr>
          <w:rFonts w:cstheme="minorHAnsi"/>
          <w:lang w:val="es"/>
        </w:rPr>
        <w:t>pertenecen</w:t>
      </w:r>
      <w:r w:rsidR="001B42B0" w:rsidRPr="001B42B0">
        <w:rPr>
          <w:rStyle w:val="FootnoteReference"/>
          <w:rFonts w:asciiTheme="minorHAnsi" w:hAnsiTheme="minorHAnsi" w:cstheme="minorHAnsi"/>
          <w:lang w:val="es"/>
        </w:rPr>
        <w:footnoteReference w:id="17"/>
      </w:r>
      <w:r w:rsidRPr="001B42B0">
        <w:rPr>
          <w:rFonts w:cstheme="minorHAnsi"/>
          <w:lang w:val="es"/>
        </w:rPr>
        <w:t>.</w:t>
      </w:r>
    </w:p>
    <w:p w14:paraId="027FB7FE" w14:textId="44232892" w:rsidR="227E1361" w:rsidRPr="008E7F49" w:rsidRDefault="227E1361" w:rsidP="00161AE2">
      <w:pPr>
        <w:spacing w:after="120"/>
        <w:rPr>
          <w:rFonts w:cstheme="minorHAnsi"/>
          <w:lang w:val="es"/>
        </w:rPr>
      </w:pPr>
      <w:r w:rsidRPr="00FE7F19">
        <w:rPr>
          <w:lang w:val="es"/>
        </w:rPr>
        <w:t xml:space="preserve">QCS no certificará a operadores o grupos de operadores que hayan sido retirados por su autoridad de control o cuerpo de control anterior en los últimos 2 años, a menos que el reconocimiento de la autoridad de control o cuerpo de control anterior haya sido retirado por la Comisión de acuerdo con el Artículo 46(2a) del Reglamento (UE) 2018/848 para el país tercero específico y categoría de </w:t>
      </w:r>
      <w:r w:rsidRPr="008E7F49">
        <w:rPr>
          <w:rFonts w:cstheme="minorHAnsi"/>
          <w:lang w:val="es"/>
        </w:rPr>
        <w:t>productos</w:t>
      </w:r>
      <w:r w:rsidR="008E7F49" w:rsidRPr="008E7F49">
        <w:rPr>
          <w:rStyle w:val="FootnoteReference"/>
          <w:rFonts w:asciiTheme="minorHAnsi" w:hAnsiTheme="minorHAnsi" w:cstheme="minorHAnsi"/>
          <w:lang w:val="es"/>
        </w:rPr>
        <w:footnoteReference w:id="18"/>
      </w:r>
      <w:r w:rsidRPr="008E7F49">
        <w:rPr>
          <w:rFonts w:cstheme="minorHAnsi"/>
          <w:lang w:val="es"/>
        </w:rPr>
        <w:t>.</w:t>
      </w:r>
    </w:p>
    <w:p w14:paraId="162B321B" w14:textId="15DFA054" w:rsidR="227E1361" w:rsidRPr="00FE7F19" w:rsidRDefault="00E2232E" w:rsidP="00621031">
      <w:pPr>
        <w:pStyle w:val="Heading3"/>
        <w:rPr>
          <w:b w:val="0"/>
          <w:lang w:val="es"/>
        </w:rPr>
      </w:pPr>
      <w:r w:rsidRPr="007C4F17">
        <w:lastRenderedPageBreak/>
        <w:t>Regenerative Organic Certified</w:t>
      </w:r>
      <w:r w:rsidR="227E1361" w:rsidRPr="007C4F17">
        <w:t>®</w:t>
      </w:r>
    </w:p>
    <w:p w14:paraId="11410680" w14:textId="28652E7D" w:rsidR="00DD3905" w:rsidRPr="007844DE" w:rsidRDefault="227E1361" w:rsidP="00337BBD">
      <w:pPr>
        <w:spacing w:line="240" w:lineRule="auto"/>
        <w:rPr>
          <w:rFonts w:eastAsia="Calibri"/>
        </w:rPr>
      </w:pPr>
      <w:r w:rsidRPr="227E1361">
        <w:rPr>
          <w:rFonts w:eastAsia="Calibri"/>
        </w:rPr>
        <w:t>Al otorgar la certificación orgánica, los operadores son elegibles para un nivel de certificación ROC cuando se cumple un 100% de las Prácticas Requeridas (R)para ese nivel, Bronce, Plata u Oro. El Oro es el nivel más alto alcanzable y el Bronce representa el nivel principiante. Para el nivel Bronce, los operadores deben avanzar al nivel Plata u Oro dentro de los próximos tres años para poder continuar haciendo declaraciones ROC al público. En el Nivel Plata, al menos el 50% de la tierra productora de fibra o alimentos dentro de una operación debe estar certificada en la certificación inicial y debe alcanzar al menos el 75% para el año 5, y la porción certificada debe representar al menos el 50% de la Ingresos de la operación derivados de la producción de alimentos o fibra. El Nivel Oro, el 100% de la tierra productora de fibra o alimentos de una operación debe estar certificada, lo que representa el 100% de los ingresos derivados de la producción de alimentos o fibra. La certificación permanece vigente hasta la fecha de vencimiento o al renunciar a la certificación. Ver Renuncia a la Certificación.</w:t>
      </w:r>
    </w:p>
    <w:p w14:paraId="5D071BFC" w14:textId="1ABFC72A" w:rsidR="009E2D15" w:rsidRPr="008F2B51" w:rsidRDefault="227E1361" w:rsidP="00F62968">
      <w:pPr>
        <w:pStyle w:val="Heading3"/>
        <w:rPr>
          <w:b w:val="0"/>
          <w:lang w:val="es-ES"/>
        </w:rPr>
      </w:pPr>
      <w:r w:rsidRPr="227E1361">
        <w:t>Período de Validez del Certificado</w:t>
      </w:r>
    </w:p>
    <w:p w14:paraId="19940AB9" w14:textId="52D82A2D" w:rsidR="00354816" w:rsidRPr="008F2B51" w:rsidRDefault="227E1361" w:rsidP="00F62968">
      <w:pPr>
        <w:pStyle w:val="Heading4"/>
        <w:rPr>
          <w:lang w:val="es-ES"/>
        </w:rPr>
      </w:pPr>
      <w:r w:rsidRPr="227E1361">
        <w:t xml:space="preserve">Reglamento </w:t>
      </w:r>
      <w:r w:rsidR="00796594">
        <w:t xml:space="preserve">USDA </w:t>
      </w:r>
      <w:r w:rsidRPr="227E1361">
        <w:t>NOP</w:t>
      </w:r>
    </w:p>
    <w:p w14:paraId="76FEC04B" w14:textId="2C646C94" w:rsidR="00451D8D" w:rsidRDefault="227E1361" w:rsidP="00337BBD">
      <w:pPr>
        <w:rPr>
          <w:rFonts w:eastAsia="Calibri"/>
          <w:lang w:val="es-ES"/>
        </w:rPr>
      </w:pPr>
      <w:r w:rsidRPr="227E1361">
        <w:rPr>
          <w:rFonts w:eastAsia="Calibri"/>
        </w:rPr>
        <w:t xml:space="preserve">Una vez que un cliente está certificado de acuerdo con el NOP, la certificación de una operación continúa vigente hasta que la operación renuncie a la certificación, o sea suspendida o revocada por QCS, y si es pertinente, por el </w:t>
      </w:r>
      <w:r w:rsidR="00B7442C" w:rsidRPr="227E1361">
        <w:rPr>
          <w:rFonts w:eastAsia="Calibri"/>
        </w:rPr>
        <w:t>Administrador</w:t>
      </w:r>
      <w:r w:rsidRPr="227E1361">
        <w:rPr>
          <w:rFonts w:eastAsia="Calibri"/>
        </w:rPr>
        <w:t xml:space="preserve"> del USDA NOP y / o el oficial de gobierno del programa orgánico estatal.</w:t>
      </w:r>
    </w:p>
    <w:p w14:paraId="74E7ACBD" w14:textId="75C55A14" w:rsidR="00030F63" w:rsidRPr="0009283C" w:rsidRDefault="005C1916" w:rsidP="3053755D">
      <w:pPr>
        <w:pStyle w:val="Heading4"/>
        <w:rPr>
          <w:lang w:val="es-ES"/>
        </w:rPr>
      </w:pPr>
      <w:r w:rsidRPr="3053755D">
        <w:rPr>
          <w:lang w:val="es-ES"/>
        </w:rPr>
        <w:t>Estándares Regenerative Organic Certified</w:t>
      </w:r>
      <w:r w:rsidR="227E1361" w:rsidRPr="3053755D">
        <w:rPr>
          <w:lang w:val="es-ES"/>
        </w:rPr>
        <w:t>®</w:t>
      </w:r>
    </w:p>
    <w:p w14:paraId="0C8E44DA" w14:textId="3CB30086" w:rsidR="00A56ECF" w:rsidRPr="007A50B6" w:rsidRDefault="227E1361" w:rsidP="00337BBD">
      <w:pPr>
        <w:rPr>
          <w:rFonts w:eastAsia="Calibri"/>
          <w:lang w:val="es-ES"/>
        </w:rPr>
      </w:pPr>
      <w:r w:rsidRPr="227E1361">
        <w:rPr>
          <w:rFonts w:eastAsia="Calibri"/>
        </w:rPr>
        <w:t xml:space="preserve">Una vez que QCS presenta una decisión de certificación, QCS comunica su decisión a NSF International, que luego emite un certificado de la operación. Los certificados de los clientes reconocidos por QCS de acuerdo con los estándares ROC deben ser </w:t>
      </w:r>
      <w:r w:rsidR="00B7442C" w:rsidRPr="227E1361">
        <w:rPr>
          <w:rFonts w:eastAsia="Calibri"/>
        </w:rPr>
        <w:t>reemitidos</w:t>
      </w:r>
      <w:r w:rsidRPr="227E1361">
        <w:rPr>
          <w:rFonts w:eastAsia="Calibri"/>
        </w:rPr>
        <w:t xml:space="preserve"> anualmente con una fecha de vencimiento</w:t>
      </w:r>
      <w:r w:rsidRPr="007A50B6">
        <w:rPr>
          <w:rFonts w:eastAsia="Calibri"/>
        </w:rPr>
        <w:t xml:space="preserve">. </w:t>
      </w:r>
    </w:p>
    <w:p w14:paraId="27976D20" w14:textId="0C2FE072" w:rsidR="227E1361" w:rsidRDefault="227E1361" w:rsidP="00F62968">
      <w:pPr>
        <w:pStyle w:val="Heading4"/>
        <w:rPr>
          <w:lang w:val="es"/>
        </w:rPr>
      </w:pPr>
      <w:r w:rsidRPr="00FE7F19">
        <w:rPr>
          <w:lang w:val="es"/>
        </w:rPr>
        <w:t>Requisitos de Certificación del Reglamento (UE) 2018/848</w:t>
      </w:r>
    </w:p>
    <w:p w14:paraId="4EB62B67" w14:textId="39EF2D38" w:rsidR="007E4E30" w:rsidRPr="007A50B6" w:rsidRDefault="227E1361" w:rsidP="00337BBD">
      <w:pPr>
        <w:rPr>
          <w:rFonts w:eastAsia="Calibri"/>
          <w:lang w:val="es-ES"/>
        </w:rPr>
      </w:pPr>
      <w:r w:rsidRPr="227E1361">
        <w:rPr>
          <w:rFonts w:eastAsia="Calibri"/>
        </w:rPr>
        <w:t xml:space="preserve">A los clientes de QCS certificados de acuerdo con los estándares adicionales requeridos para la exportación se les emite un certificado, que debe volver a emitirse anualmente con una fecha de vencimiento. </w:t>
      </w:r>
    </w:p>
    <w:p w14:paraId="05C2790A" w14:textId="23C2279E" w:rsidR="227E1361" w:rsidRPr="00FE7F19" w:rsidRDefault="227E1361" w:rsidP="00F62968">
      <w:pPr>
        <w:pStyle w:val="Heading4"/>
        <w:rPr>
          <w:rFonts w:eastAsia="Calibri"/>
          <w:lang w:val="es"/>
        </w:rPr>
      </w:pPr>
      <w:r w:rsidRPr="00FE7F19">
        <w:rPr>
          <w:lang w:val="es"/>
        </w:rPr>
        <w:t>Régimen Orgánico de Canadá</w:t>
      </w:r>
    </w:p>
    <w:p w14:paraId="5F26AF44" w14:textId="0FDC2735" w:rsidR="227E1361" w:rsidRPr="00FE7F19" w:rsidRDefault="227E1361" w:rsidP="00337BBD">
      <w:pPr>
        <w:rPr>
          <w:rFonts w:eastAsia="Calibri"/>
          <w:lang w:val="es"/>
        </w:rPr>
      </w:pPr>
      <w:r w:rsidRPr="227E1361">
        <w:rPr>
          <w:rFonts w:eastAsia="Calibri"/>
        </w:rPr>
        <w:t xml:space="preserve">La certificación de un producto, una vez emitida, seguirá siendo válida a menos que el agente de certificación la suspenda o cancele de acuerdo con los requisitos de </w:t>
      </w:r>
      <w:r w:rsidRPr="00FE7F19">
        <w:rPr>
          <w:lang w:val="es"/>
        </w:rPr>
        <w:t xml:space="preserve">las Regulaciones de Alimentos Seguros para </w:t>
      </w:r>
      <w:r w:rsidR="007A50B6" w:rsidRPr="00FE7F19">
        <w:rPr>
          <w:lang w:val="es"/>
        </w:rPr>
        <w:t>canadienses</w:t>
      </w:r>
      <w:r w:rsidRPr="00FE7F19">
        <w:rPr>
          <w:lang w:val="es"/>
        </w:rPr>
        <w:t>.</w:t>
      </w:r>
    </w:p>
    <w:p w14:paraId="2FE547DF" w14:textId="6A76A6B2" w:rsidR="227E1361" w:rsidRPr="00FE7F19" w:rsidRDefault="227E1361" w:rsidP="00F62968">
      <w:pPr>
        <w:pStyle w:val="Heading4"/>
        <w:rPr>
          <w:lang w:val="es"/>
        </w:rPr>
      </w:pPr>
      <w:bookmarkStart w:id="73" w:name="_Toc500935051"/>
      <w:r w:rsidRPr="00FE7F19">
        <w:rPr>
          <w:lang w:val="es"/>
        </w:rPr>
        <w:t>Programa Certificado de Ganado Orgánico Alimentado con Pasto OPT</w:t>
      </w:r>
    </w:p>
    <w:p w14:paraId="6AAC37F1" w14:textId="7AF4D375" w:rsidR="004D49E7" w:rsidRPr="00FF25CD" w:rsidRDefault="227E1361" w:rsidP="00337BBD">
      <w:pPr>
        <w:rPr>
          <w:rFonts w:eastAsia="Calibri"/>
        </w:rPr>
      </w:pPr>
      <w:r w:rsidRPr="227E1361">
        <w:rPr>
          <w:rFonts w:eastAsia="Calibri"/>
        </w:rPr>
        <w:t>La certificación orgánica es una condición previa obligatoria</w:t>
      </w:r>
      <w:r w:rsidRPr="00FE7F19">
        <w:t xml:space="preserve"> para </w:t>
      </w:r>
      <w:r w:rsidRPr="227E1361">
        <w:t xml:space="preserve">el </w:t>
      </w:r>
      <w:r w:rsidRPr="00FE7F19">
        <w:rPr>
          <w:lang w:val="es"/>
        </w:rPr>
        <w:t>Programa Certificado de Ganado Orgánico Alimentado con Pasto OPT</w:t>
      </w:r>
      <w:r w:rsidRPr="00FE7F19">
        <w:t>. El certificado de cada operación certificada coincidirá con la fecha que aparece en su certificado orgánico.</w:t>
      </w:r>
    </w:p>
    <w:p w14:paraId="67302646" w14:textId="58CFBF73" w:rsidR="00CF204E" w:rsidRPr="00510E91" w:rsidRDefault="00527116" w:rsidP="00D050B3">
      <w:pPr>
        <w:pStyle w:val="Heading2"/>
        <w:rPr>
          <w:lang w:val="es-ES"/>
        </w:rPr>
      </w:pPr>
      <w:bookmarkStart w:id="74" w:name="_Toc500935054"/>
      <w:bookmarkEnd w:id="73"/>
      <w:r w:rsidRPr="00510E91">
        <w:rPr>
          <w:lang w:val="es-ES"/>
        </w:rPr>
        <w:t>QUINTO PASO</w:t>
      </w:r>
      <w:r w:rsidR="002F4B74">
        <w:rPr>
          <w:lang w:val="es-ES"/>
        </w:rPr>
        <w:tab/>
      </w:r>
      <w:r w:rsidR="00CF204E" w:rsidRPr="227E1361">
        <w:rPr>
          <w:rFonts w:eastAsia="Calibri"/>
          <w:lang w:val="es-ES"/>
        </w:rPr>
        <w:t>Re-Certifica</w:t>
      </w:r>
      <w:r w:rsidRPr="227E1361">
        <w:rPr>
          <w:rFonts w:eastAsia="Calibri"/>
          <w:lang w:val="es-ES"/>
        </w:rPr>
        <w:t>c</w:t>
      </w:r>
      <w:r w:rsidR="00CF204E" w:rsidRPr="227E1361">
        <w:rPr>
          <w:rFonts w:eastAsia="Calibri"/>
          <w:lang w:val="es-ES"/>
        </w:rPr>
        <w:t>i</w:t>
      </w:r>
      <w:r w:rsidRPr="227E1361">
        <w:rPr>
          <w:rFonts w:eastAsia="Calibri"/>
          <w:lang w:val="es-ES"/>
        </w:rPr>
        <w:t>ó</w:t>
      </w:r>
      <w:r w:rsidR="00CF204E" w:rsidRPr="227E1361">
        <w:rPr>
          <w:rFonts w:eastAsia="Calibri"/>
          <w:lang w:val="es-ES"/>
        </w:rPr>
        <w:t>n (</w:t>
      </w:r>
      <w:r w:rsidR="00CF204E" w:rsidRPr="227E1361">
        <w:rPr>
          <w:rFonts w:eastAsia="Calibri"/>
          <w:color w:val="000000"/>
          <w:lang w:val="es-ES"/>
        </w:rPr>
        <w:t>Continua</w:t>
      </w:r>
      <w:r w:rsidR="00510E91" w:rsidRPr="227E1361">
        <w:rPr>
          <w:rFonts w:eastAsia="Calibri"/>
          <w:color w:val="000000"/>
          <w:lang w:val="es-ES"/>
        </w:rPr>
        <w:t>c</w:t>
      </w:r>
      <w:r w:rsidR="00CF204E" w:rsidRPr="227E1361">
        <w:rPr>
          <w:rFonts w:eastAsia="Calibri"/>
          <w:color w:val="000000"/>
          <w:lang w:val="es-ES"/>
        </w:rPr>
        <w:t>i</w:t>
      </w:r>
      <w:r w:rsidR="00510E91" w:rsidRPr="227E1361">
        <w:rPr>
          <w:rFonts w:eastAsia="Calibri"/>
          <w:lang w:val="es-ES"/>
        </w:rPr>
        <w:t>ó</w:t>
      </w:r>
      <w:r w:rsidR="00CF204E" w:rsidRPr="227E1361">
        <w:rPr>
          <w:rFonts w:eastAsia="Calibri"/>
          <w:color w:val="000000"/>
          <w:lang w:val="es-ES"/>
        </w:rPr>
        <w:t xml:space="preserve">n </w:t>
      </w:r>
      <w:r w:rsidR="00510E91" w:rsidRPr="227E1361">
        <w:rPr>
          <w:rFonts w:eastAsia="Calibri"/>
          <w:color w:val="000000"/>
          <w:lang w:val="es-ES"/>
        </w:rPr>
        <w:t xml:space="preserve">de la </w:t>
      </w:r>
      <w:r w:rsidR="00CF204E" w:rsidRPr="227E1361">
        <w:rPr>
          <w:rFonts w:eastAsia="Calibri"/>
          <w:color w:val="000000"/>
          <w:lang w:val="es-ES"/>
        </w:rPr>
        <w:t>Certifica</w:t>
      </w:r>
      <w:r w:rsidR="00510E91" w:rsidRPr="227E1361">
        <w:rPr>
          <w:rFonts w:eastAsia="Calibri"/>
          <w:color w:val="000000"/>
          <w:lang w:val="es-ES"/>
        </w:rPr>
        <w:t>c</w:t>
      </w:r>
      <w:r w:rsidR="00CF204E" w:rsidRPr="227E1361">
        <w:rPr>
          <w:rFonts w:eastAsia="Calibri"/>
          <w:color w:val="000000"/>
          <w:lang w:val="es-ES"/>
        </w:rPr>
        <w:t>i</w:t>
      </w:r>
      <w:r w:rsidR="00510E91" w:rsidRPr="227E1361">
        <w:rPr>
          <w:rFonts w:eastAsia="Calibri"/>
          <w:lang w:val="es-ES"/>
        </w:rPr>
        <w:t>ó</w:t>
      </w:r>
      <w:r w:rsidR="00CF204E" w:rsidRPr="227E1361">
        <w:rPr>
          <w:rFonts w:eastAsia="Calibri"/>
          <w:color w:val="000000"/>
          <w:lang w:val="es-ES"/>
        </w:rPr>
        <w:t>n)</w:t>
      </w:r>
      <w:r w:rsidR="00CF204E" w:rsidRPr="006C29DF">
        <w:rPr>
          <w:rFonts w:eastAsia="Calibri" w:cs="Times New Roman"/>
          <w:u w:val="none"/>
          <w:vertAlign w:val="superscript"/>
        </w:rPr>
        <w:footnoteReference w:id="19"/>
      </w:r>
      <w:bookmarkEnd w:id="74"/>
    </w:p>
    <w:p w14:paraId="3D392ABD" w14:textId="681B5E2B" w:rsidR="00CF204E" w:rsidRPr="000D3564" w:rsidRDefault="227E1361" w:rsidP="00337BBD">
      <w:pPr>
        <w:rPr>
          <w:rFonts w:eastAsia="Times New Roman"/>
          <w:lang w:val="es-ES"/>
        </w:rPr>
      </w:pPr>
      <w:r w:rsidRPr="227E1361">
        <w:rPr>
          <w:rFonts w:eastAsia="Times New Roman"/>
        </w:rPr>
        <w:t>Para que un cliente mantenga la certificación con QCS, el titular del certificado debe:</w:t>
      </w:r>
    </w:p>
    <w:p w14:paraId="2CAD3D2C" w14:textId="1E75F6AD" w:rsidR="00CE6308" w:rsidRPr="00CE6308" w:rsidRDefault="227E1361" w:rsidP="002735CF">
      <w:pPr>
        <w:pStyle w:val="ListParagraph"/>
        <w:numPr>
          <w:ilvl w:val="0"/>
          <w:numId w:val="35"/>
        </w:numPr>
        <w:ind w:left="360"/>
        <w:rPr>
          <w:rFonts w:eastAsia="Times New Roman"/>
          <w:lang w:val="es-ES"/>
        </w:rPr>
      </w:pPr>
      <w:r w:rsidRPr="227E1361">
        <w:rPr>
          <w:rFonts w:eastAsia="Times New Roman"/>
        </w:rPr>
        <w:t>Mantener el cumplimiento de las normas relevantes</w:t>
      </w:r>
    </w:p>
    <w:p w14:paraId="0D107CEE" w14:textId="0FAF01CB" w:rsidR="00CE6308" w:rsidRPr="00CE6308" w:rsidRDefault="227E1361" w:rsidP="002735CF">
      <w:pPr>
        <w:pStyle w:val="ListParagraph"/>
        <w:numPr>
          <w:ilvl w:val="0"/>
          <w:numId w:val="35"/>
        </w:numPr>
        <w:ind w:left="360"/>
        <w:rPr>
          <w:rFonts w:eastAsia="Times New Roman"/>
          <w:lang w:val="es-ES"/>
        </w:rPr>
      </w:pPr>
      <w:r w:rsidRPr="227E1361">
        <w:rPr>
          <w:rFonts w:eastAsia="Times New Roman"/>
        </w:rPr>
        <w:t>Completar con éxito una inspección anual in situ.</w:t>
      </w:r>
    </w:p>
    <w:p w14:paraId="4C9575ED" w14:textId="7DE7F4D2" w:rsidR="00CE6308" w:rsidRPr="00CE6308" w:rsidRDefault="227E1361" w:rsidP="002735CF">
      <w:pPr>
        <w:pStyle w:val="ListParagraph"/>
        <w:numPr>
          <w:ilvl w:val="0"/>
          <w:numId w:val="35"/>
        </w:numPr>
        <w:ind w:left="360"/>
        <w:rPr>
          <w:rFonts w:eastAsia="Times New Roman"/>
          <w:lang w:val="es-ES"/>
        </w:rPr>
      </w:pPr>
      <w:r w:rsidRPr="227E1361">
        <w:rPr>
          <w:rFonts w:eastAsia="Times New Roman"/>
        </w:rPr>
        <w:lastRenderedPageBreak/>
        <w:t>Pagar anualmente las tarifas de certificación, y</w:t>
      </w:r>
    </w:p>
    <w:p w14:paraId="1AFD0791" w14:textId="77777777" w:rsidR="008649C4" w:rsidRPr="008649C4" w:rsidRDefault="227E1361" w:rsidP="002735CF">
      <w:pPr>
        <w:pStyle w:val="ListParagraph"/>
        <w:numPr>
          <w:ilvl w:val="0"/>
          <w:numId w:val="35"/>
        </w:numPr>
        <w:ind w:left="360"/>
        <w:rPr>
          <w:rFonts w:eastAsia="Times New Roman"/>
          <w:lang w:val="es-ES"/>
        </w:rPr>
      </w:pPr>
      <w:r w:rsidRPr="227E1361">
        <w:rPr>
          <w:rFonts w:eastAsia="Times New Roman"/>
        </w:rPr>
        <w:t>Enviar la siguiente información, según corresponda, a QCS antes de la fecha de aniversario:</w:t>
      </w:r>
    </w:p>
    <w:p w14:paraId="77D1ED95" w14:textId="5546DF9A" w:rsidR="00CF204E" w:rsidRPr="008649C4" w:rsidRDefault="227E1361" w:rsidP="002735CF">
      <w:pPr>
        <w:pStyle w:val="ListParagraph"/>
        <w:numPr>
          <w:ilvl w:val="1"/>
          <w:numId w:val="35"/>
        </w:numPr>
        <w:ind w:left="720"/>
        <w:rPr>
          <w:rFonts w:eastAsia="Times New Roman"/>
          <w:lang w:val="es-ES"/>
        </w:rPr>
      </w:pPr>
      <w:r w:rsidRPr="008649C4">
        <w:rPr>
          <w:rFonts w:eastAsia="Times New Roman"/>
        </w:rPr>
        <w:t>Un plan actualizado de producción orgánica o sistema de gestión que incluya:</w:t>
      </w:r>
    </w:p>
    <w:p w14:paraId="4B9463D1" w14:textId="5BEF3625" w:rsidR="00CF204E" w:rsidRPr="004C7DE6" w:rsidRDefault="227E1361" w:rsidP="005E510F">
      <w:pPr>
        <w:pStyle w:val="ListParagraph"/>
        <w:numPr>
          <w:ilvl w:val="0"/>
          <w:numId w:val="7"/>
        </w:numPr>
        <w:ind w:left="1080"/>
        <w:rPr>
          <w:rFonts w:eastAsia="Times New Roman"/>
          <w:lang w:val="es-ES"/>
        </w:rPr>
      </w:pPr>
      <w:r w:rsidRPr="227E1361">
        <w:rPr>
          <w:rFonts w:eastAsia="Times New Roman"/>
        </w:rPr>
        <w:t xml:space="preserve">Una declaración resumida, respaldada por documentación, que detalla cualquier desviación, cambio, modificación u otras modificaciones realizadas al </w:t>
      </w:r>
      <w:r w:rsidR="00C04921">
        <w:rPr>
          <w:rFonts w:eastAsia="Times New Roman"/>
        </w:rPr>
        <w:t>plan de sistema orgánico</w:t>
      </w:r>
      <w:r w:rsidRPr="227E1361">
        <w:rPr>
          <w:rFonts w:eastAsia="Times New Roman"/>
        </w:rPr>
        <w:t xml:space="preserve"> del año anterior durante el año anterior; y</w:t>
      </w:r>
    </w:p>
    <w:p w14:paraId="16C617FA" w14:textId="423C92C1" w:rsidR="00CF204E" w:rsidRPr="00516634" w:rsidRDefault="227E1361" w:rsidP="005E510F">
      <w:pPr>
        <w:pStyle w:val="ListParagraph"/>
        <w:numPr>
          <w:ilvl w:val="0"/>
          <w:numId w:val="7"/>
        </w:numPr>
        <w:ind w:left="1080"/>
        <w:rPr>
          <w:rFonts w:eastAsia="Times New Roman"/>
          <w:lang w:val="es-ES"/>
        </w:rPr>
      </w:pPr>
      <w:r w:rsidRPr="227E1361">
        <w:rPr>
          <w:rFonts w:eastAsia="Times New Roman"/>
        </w:rPr>
        <w:t xml:space="preserve">Cualquier adición o eliminación al </w:t>
      </w:r>
      <w:r w:rsidR="00C04921">
        <w:rPr>
          <w:rFonts w:eastAsia="Times New Roman"/>
        </w:rPr>
        <w:t>plan de sistema orgánico</w:t>
      </w:r>
      <w:r w:rsidRPr="227E1361">
        <w:rPr>
          <w:rFonts w:eastAsia="Times New Roman"/>
        </w:rPr>
        <w:t xml:space="preserve"> del año anterior, destinado a realizarse en el próximo año; incluidos, entre otros: cultivos / productos, sustancias y materiales utilizados, métodos de producción / procesamiento, porcentajes en productos con múltiples ingredientes, actualizaciones de certificados orgánicos, etc.;</w:t>
      </w:r>
    </w:p>
    <w:p w14:paraId="48929D7F" w14:textId="7C9A570F" w:rsidR="00CF204E" w:rsidRPr="002717F1" w:rsidRDefault="227E1361" w:rsidP="005E510F">
      <w:pPr>
        <w:pStyle w:val="ListParagraph"/>
        <w:numPr>
          <w:ilvl w:val="0"/>
          <w:numId w:val="7"/>
        </w:numPr>
        <w:ind w:left="1080"/>
        <w:rPr>
          <w:rFonts w:eastAsia="Times New Roman"/>
          <w:lang w:val="es-ES"/>
        </w:rPr>
      </w:pPr>
      <w:r w:rsidRPr="227E1361">
        <w:rPr>
          <w:rFonts w:eastAsia="Times New Roman"/>
        </w:rPr>
        <w:t>Cualquier adición o eliminación de la información con respecto al nombre de la persona que completa la solicitud, el nombre comercial, la dirección y el número de teléfono del solicitante y cuando el solicitante es una corporación, el nombre y la dirección de la persona autorizada para actuar en el nombre del solicitante;</w:t>
      </w:r>
    </w:p>
    <w:p w14:paraId="04298D1B" w14:textId="63C2898E" w:rsidR="00AF49FD" w:rsidRDefault="227E1361" w:rsidP="005E510F">
      <w:pPr>
        <w:pStyle w:val="ListParagraph"/>
        <w:numPr>
          <w:ilvl w:val="0"/>
          <w:numId w:val="7"/>
        </w:numPr>
        <w:ind w:left="1080"/>
        <w:rPr>
          <w:rFonts w:eastAsia="Times New Roman"/>
          <w:lang w:val="es-ES"/>
        </w:rPr>
      </w:pPr>
      <w:r w:rsidRPr="227E1361">
        <w:rPr>
          <w:rFonts w:eastAsia="Times New Roman"/>
        </w:rPr>
        <w:t>Actualización sobre la corrección de incumplimientos menores previamente identificados por QCS como que requieren corrección para la continuar la certificación; y</w:t>
      </w:r>
    </w:p>
    <w:p w14:paraId="0FD3EC3C" w14:textId="65F50765" w:rsidR="00CF204E" w:rsidRPr="00AD4F38" w:rsidRDefault="227E1361" w:rsidP="005E510F">
      <w:pPr>
        <w:pStyle w:val="ListParagraph"/>
        <w:numPr>
          <w:ilvl w:val="0"/>
          <w:numId w:val="7"/>
        </w:numPr>
        <w:ind w:left="1080"/>
        <w:rPr>
          <w:rFonts w:eastAsia="Times New Roman"/>
          <w:lang w:val="es-ES"/>
        </w:rPr>
      </w:pPr>
      <w:r w:rsidRPr="227E1361">
        <w:rPr>
          <w:rFonts w:eastAsia="Times New Roman"/>
        </w:rPr>
        <w:t>Otra información que QCS considere necesaria para determinar el cumplimiento del NOP y las normas adicionales requeridas para la exportación.</w:t>
      </w:r>
    </w:p>
    <w:p w14:paraId="07119367" w14:textId="2FEB2918" w:rsidR="227E1361" w:rsidRDefault="227E1361" w:rsidP="00337BBD">
      <w:pPr>
        <w:rPr>
          <w:rFonts w:eastAsia="Times New Roman"/>
        </w:rPr>
      </w:pPr>
      <w:r w:rsidRPr="227E1361">
        <w:rPr>
          <w:rFonts w:eastAsia="Times New Roman"/>
        </w:rPr>
        <w:t>Después de recibir la información, QCS realiza la inspección anual de vigilancia en el sitio y verifica que los clientes continúen cumpliendo con los estándares aplicables.</w:t>
      </w:r>
    </w:p>
    <w:p w14:paraId="15D0ECED" w14:textId="003DAA14" w:rsidR="002A5554" w:rsidRDefault="227E1361" w:rsidP="00D050B3">
      <w:pPr>
        <w:pStyle w:val="Heading3"/>
        <w:rPr>
          <w:b w:val="0"/>
          <w:lang w:val="fr-FR"/>
        </w:rPr>
      </w:pPr>
      <w:r w:rsidRPr="227E1361">
        <w:t>Renovación de la Certificación</w:t>
      </w:r>
      <w:r w:rsidR="00476BE5">
        <w:rPr>
          <w:b w:val="0"/>
        </w:rPr>
        <w:t xml:space="preserve"> </w:t>
      </w:r>
      <w:r w:rsidRPr="227E1361">
        <w:t xml:space="preserve">- Disposiciones de la Inspección </w:t>
      </w:r>
      <w:r w:rsidRPr="227E1361">
        <w:rPr>
          <w:i/>
          <w:iCs/>
        </w:rPr>
        <w:t>in situ</w:t>
      </w:r>
    </w:p>
    <w:p w14:paraId="4176B370" w14:textId="55946F73" w:rsidR="00DE46B9" w:rsidRPr="00FE7F19" w:rsidRDefault="227E1361" w:rsidP="00337BBD">
      <w:pPr>
        <w:rPr>
          <w:rFonts w:eastAsia="Times New Roman"/>
          <w:lang w:val="es"/>
        </w:rPr>
      </w:pPr>
      <w:r w:rsidRPr="00FE7F19">
        <w:rPr>
          <w:lang w:val="es"/>
        </w:rPr>
        <w:t>Todas las operaciones orgánicas certificadas deben ser inspeccionadas anualmente.</w:t>
      </w:r>
    </w:p>
    <w:p w14:paraId="4393F9C6" w14:textId="78AA4CB2" w:rsidR="00DE46B9" w:rsidRPr="00D879BE" w:rsidRDefault="227E1361" w:rsidP="007C4F17">
      <w:pPr>
        <w:pStyle w:val="Heading4"/>
        <w:rPr>
          <w:rFonts w:eastAsia="Times New Roman"/>
          <w:b/>
          <w:lang w:val="es"/>
        </w:rPr>
      </w:pPr>
      <w:r w:rsidRPr="227E1361">
        <w:rPr>
          <w:rFonts w:eastAsia="Times New Roman"/>
        </w:rPr>
        <w:t>Renovación</w:t>
      </w:r>
      <w:r w:rsidRPr="227E1361">
        <w:rPr>
          <w:lang w:val="es"/>
        </w:rPr>
        <w:t xml:space="preserve"> </w:t>
      </w:r>
      <w:r w:rsidRPr="00FE7F19">
        <w:rPr>
          <w:lang w:val="es"/>
        </w:rPr>
        <w:t xml:space="preserve">de Certificación e Inspección </w:t>
      </w:r>
      <w:r w:rsidR="00756235">
        <w:rPr>
          <w:i/>
          <w:iCs/>
          <w:lang w:val="es"/>
        </w:rPr>
        <w:t>in situ</w:t>
      </w:r>
      <w:r w:rsidRPr="00FE7F19">
        <w:rPr>
          <w:lang w:val="es"/>
        </w:rPr>
        <w:t xml:space="preserve"> – UE</w:t>
      </w:r>
    </w:p>
    <w:p w14:paraId="0DBE3DAB" w14:textId="7066880F" w:rsidR="227E1361" w:rsidRPr="00FE7F19" w:rsidRDefault="227E1361" w:rsidP="00337BBD">
      <w:pPr>
        <w:spacing w:line="240" w:lineRule="auto"/>
        <w:rPr>
          <w:rFonts w:eastAsia="Times New Roman"/>
          <w:lang w:val="es"/>
        </w:rPr>
      </w:pPr>
      <w:r w:rsidRPr="00FE7F19">
        <w:rPr>
          <w:rFonts w:eastAsia="Times New Roman"/>
          <w:lang w:val="es"/>
        </w:rPr>
        <w:t>Según ISO 17065 7.3.3: El certificado no puede emitirse hasta que se hayan cumplido los requisitos de certificación. Debido a que el certificado expira, la decisión de certificación debe volver a tomarse cada año al final del proceso de renovación y después de la inspección anual.</w:t>
      </w:r>
    </w:p>
    <w:p w14:paraId="260755C2" w14:textId="2BCE3724" w:rsidR="227E1361" w:rsidRPr="00FE7F19" w:rsidRDefault="227E1361" w:rsidP="00337BBD">
      <w:pPr>
        <w:spacing w:line="240" w:lineRule="auto"/>
        <w:rPr>
          <w:rFonts w:eastAsia="Times New Roman"/>
          <w:lang w:val="es"/>
        </w:rPr>
      </w:pPr>
      <w:r w:rsidRPr="00FE7F19">
        <w:rPr>
          <w:rFonts w:eastAsia="Times New Roman"/>
          <w:lang w:val="es"/>
        </w:rPr>
        <w:t>En el caso de que sea imposible para QCS realizar la inspección anual en el sitio después de recibir la Actualización Anual de la operación certificada, QCS puede extender la expiración del certificado orgánico de la UE para permitir la continuación de la certificación y puede emitir una Verificación de Producto actualizada de la operación orgánica basada en la información presentada y la inspección en el sitio más reciente. Las extensiones de certificación solo pueden emitirse a operaciones de la UE después de recibir la actualización anual cuando sea necesario para evitar la expiración del certificado orgánico de la UE. Las extensiones pueden otorgarse por hasta tres meses a la vez hasta la finalización de la decisión de revisión subsiguiente. Las operaciones con incumplimientos mayores o críticos pendientes (no corregidos) no son elegibles para la extensión de la certificación.</w:t>
      </w:r>
    </w:p>
    <w:p w14:paraId="4A0A726A" w14:textId="5616CD9E" w:rsidR="009F3F88" w:rsidRPr="008937D4" w:rsidRDefault="227E1361" w:rsidP="007C4F17">
      <w:pPr>
        <w:pStyle w:val="Heading4"/>
        <w:rPr>
          <w:b/>
          <w:lang w:val="fr-FR"/>
        </w:rPr>
      </w:pPr>
      <w:r w:rsidRPr="227E1361">
        <w:t>Renovación de Certificación</w:t>
      </w:r>
      <w:r w:rsidR="00197C4F">
        <w:t xml:space="preserve"> </w:t>
      </w:r>
      <w:r w:rsidR="005A2B01">
        <w:t>y</w:t>
      </w:r>
      <w:r w:rsidRPr="227E1361">
        <w:t xml:space="preserve"> Disposiciones de la Inspección </w:t>
      </w:r>
      <w:r w:rsidRPr="227E1361">
        <w:rPr>
          <w:i/>
          <w:iCs/>
        </w:rPr>
        <w:t>in situ</w:t>
      </w:r>
      <w:r w:rsidR="00197C4F">
        <w:rPr>
          <w:i/>
          <w:iCs/>
        </w:rPr>
        <w:t xml:space="preserve"> </w:t>
      </w:r>
      <w:r w:rsidRPr="227E1361">
        <w:t>-</w:t>
      </w:r>
      <w:r w:rsidR="00197C4F">
        <w:t xml:space="preserve"> </w:t>
      </w:r>
      <w:r w:rsidRPr="227E1361">
        <w:t>COR</w:t>
      </w:r>
    </w:p>
    <w:p w14:paraId="36679A59" w14:textId="1A47BC68" w:rsidR="009F3F88" w:rsidRPr="00966C35" w:rsidRDefault="00E22E84" w:rsidP="00337BBD">
      <w:pPr>
        <w:rPr>
          <w:rFonts w:eastAsia="Times New Roman"/>
        </w:rPr>
      </w:pPr>
      <w:r w:rsidRPr="00E22E84">
        <w:rPr>
          <w:rFonts w:eastAsia="Times New Roman"/>
        </w:rPr>
        <w:t xml:space="preserve">El Régimen Orgánico de Canadá ha establecido un período de 12 meses, a partir del día de la emisión del certificado, en el cual se deben realizar las actividades relacionadas con la continuación de la certificación. Anualmente, el titular del certificado debe notificar a QCS por escrito su intención de mantener la certificación orgánica no más de seis meses antes del final de ese período, que es el aniversario de la “Fecha de Certificación Inicial”. El titular del certificado que tenga la intención de mantener la certificación </w:t>
      </w:r>
      <w:r w:rsidRPr="00E22E84">
        <w:rPr>
          <w:rFonts w:eastAsia="Times New Roman"/>
        </w:rPr>
        <w:lastRenderedPageBreak/>
        <w:t>debe presentar la solicitud de renovación anual antes de la Fecha de aniversario indicada en el certificado. La inspección/verificación in situ anual del COR</w:t>
      </w:r>
      <w:r w:rsidR="00CD0A4E">
        <w:rPr>
          <w:rFonts w:eastAsia="Times New Roman"/>
        </w:rPr>
        <w:t xml:space="preserve"> </w:t>
      </w:r>
      <w:r w:rsidR="227E1361" w:rsidRPr="227E1361">
        <w:rPr>
          <w:rFonts w:eastAsia="Times New Roman"/>
        </w:rPr>
        <w:t xml:space="preserve">debe completarse antes del final del período de 12 meses. </w:t>
      </w:r>
      <w:r w:rsidR="00CD0A4E">
        <w:rPr>
          <w:rFonts w:eastAsia="Times New Roman"/>
        </w:rPr>
        <w:t xml:space="preserve">Para productos procesados, </w:t>
      </w:r>
      <w:r w:rsidR="00DD6EDF">
        <w:rPr>
          <w:rFonts w:eastAsia="Times New Roman"/>
        </w:rPr>
        <w:t>n</w:t>
      </w:r>
      <w:r w:rsidR="00DD6EDF" w:rsidRPr="00DD6EDF">
        <w:rPr>
          <w:rFonts w:eastAsia="Times New Roman"/>
        </w:rPr>
        <w:t>o deberán pasar más de 2 años consecutivos sin que se realice una inspección del producto orgánico en proceso.</w:t>
      </w:r>
      <w:r w:rsidR="00DD6EDF">
        <w:rPr>
          <w:rFonts w:eastAsia="Times New Roman"/>
        </w:rPr>
        <w:t xml:space="preserve"> </w:t>
      </w:r>
    </w:p>
    <w:p w14:paraId="0171D57D" w14:textId="50A9C1CF" w:rsidR="00CF204E" w:rsidRPr="00F77A7B" w:rsidRDefault="227E1361" w:rsidP="000874C8">
      <w:pPr>
        <w:pStyle w:val="Heading3"/>
        <w:rPr>
          <w:b w:val="0"/>
          <w:lang w:val="es-ES"/>
        </w:rPr>
      </w:pPr>
      <w:r w:rsidRPr="227E1361">
        <w:t>Decisión sobre la Renovación de la Certificación</w:t>
      </w:r>
    </w:p>
    <w:p w14:paraId="0717DC2E" w14:textId="431BC9DE" w:rsidR="00CF204E" w:rsidRPr="000E6DDB" w:rsidRDefault="227E1361" w:rsidP="00337BBD">
      <w:pPr>
        <w:rPr>
          <w:rFonts w:eastAsia="Times New Roman"/>
          <w:lang w:val="es-ES"/>
        </w:rPr>
      </w:pPr>
      <w:r w:rsidRPr="227E1361">
        <w:rPr>
          <w:rFonts w:eastAsia="Times New Roman"/>
        </w:rPr>
        <w:t>Si QCS determina que la operación certificada está cumpliendo con los estándares relevantes, y que alguna de la información especificada en el certificado de operación orgánica ha cambiado, QCS emite un certificado orgánico actualizado, según la Concesión de Certificación.</w:t>
      </w:r>
    </w:p>
    <w:p w14:paraId="2A7A3EAD" w14:textId="686255C1" w:rsidR="00114213" w:rsidRDefault="227E1361" w:rsidP="00337BBD">
      <w:pPr>
        <w:rPr>
          <w:rFonts w:eastAsia="Times New Roman"/>
        </w:rPr>
      </w:pPr>
      <w:r w:rsidRPr="227E1361">
        <w:rPr>
          <w:rFonts w:eastAsia="Times New Roman"/>
        </w:rPr>
        <w:t xml:space="preserve">Si QCS tiene razones para creer, basándose en la inspección in situ y una revisión de la información especificada en la renovación, que una operación certificada no cumple con los estándares relevantes, QCS proporciona una </w:t>
      </w:r>
      <w:r w:rsidRPr="227E1361">
        <w:rPr>
          <w:rFonts w:eastAsia="Times New Roman"/>
          <w:i/>
          <w:iCs/>
        </w:rPr>
        <w:t>Notificación de Incumplimiento</w:t>
      </w:r>
      <w:r w:rsidRPr="227E1361">
        <w:rPr>
          <w:rFonts w:eastAsia="Times New Roman"/>
        </w:rPr>
        <w:t xml:space="preserve"> por escrito </w:t>
      </w:r>
      <w:r w:rsidR="00F5140E">
        <w:rPr>
          <w:rFonts w:eastAsia="Times New Roman"/>
        </w:rPr>
        <w:t>a</w:t>
      </w:r>
      <w:r w:rsidRPr="227E1361">
        <w:rPr>
          <w:rFonts w:eastAsia="Times New Roman"/>
        </w:rPr>
        <w:t xml:space="preserve"> la operación </w:t>
      </w:r>
      <w:r w:rsidR="00F5140E" w:rsidRPr="00F5140E">
        <w:rPr>
          <w:rFonts w:eastAsia="Times New Roman"/>
        </w:rPr>
        <w:t>de acuerdo con los procedimientos de incumplimiento. La notificación de incumplimiento podrá combinarse con acciones adversas o sanciones según corresponda.</w:t>
      </w:r>
    </w:p>
    <w:p w14:paraId="71BF67A8" w14:textId="28B3AC3B" w:rsidR="00E96601" w:rsidRPr="007E06B5" w:rsidRDefault="00E96601" w:rsidP="007C4F17">
      <w:pPr>
        <w:pStyle w:val="Heading2"/>
        <w:rPr>
          <w:lang w:val="es-ES"/>
        </w:rPr>
      </w:pPr>
      <w:r w:rsidRPr="227E1361">
        <w:t>Incumplimiento</w:t>
      </w:r>
    </w:p>
    <w:p w14:paraId="56F8801B" w14:textId="77777777" w:rsidR="00E96601" w:rsidRPr="007E06B5" w:rsidRDefault="00E96601" w:rsidP="007C4F17">
      <w:pPr>
        <w:pStyle w:val="Heading3"/>
        <w:rPr>
          <w:lang w:val="es-ES"/>
        </w:rPr>
      </w:pPr>
      <w:r w:rsidRPr="227E1361">
        <w:t>Notificación de Incumplimiento Menor (condición de certificación) –</w:t>
      </w:r>
      <w:r>
        <w:t xml:space="preserve"> </w:t>
      </w:r>
      <w:r w:rsidRPr="227E1361">
        <w:t>NOP</w:t>
      </w:r>
    </w:p>
    <w:p w14:paraId="16577130" w14:textId="77777777" w:rsidR="00E96601" w:rsidRDefault="00E96601" w:rsidP="00E96601">
      <w:pPr>
        <w:rPr>
          <w:rFonts w:eastAsia="Calibri"/>
          <w:lang w:val="es-ES"/>
        </w:rPr>
      </w:pPr>
      <w:r w:rsidRPr="227E1361">
        <w:rPr>
          <w:rFonts w:eastAsia="Calibri"/>
        </w:rPr>
        <w:t xml:space="preserve">Una operación puede recibir una Notificación de Incumplimiento Menor para notificar a los operadores que se continua con el proceso de certificación ya que los incumplimientos pueden corregirse fácilmente sin un plan de acción correctiva. Los incumplimientos menores no indican fallas en el diseño o implementación del </w:t>
      </w:r>
      <w:r>
        <w:rPr>
          <w:rFonts w:eastAsia="Calibri"/>
        </w:rPr>
        <w:t>Plan de sistema orgánico</w:t>
      </w:r>
      <w:r w:rsidRPr="227E1361">
        <w:rPr>
          <w:rFonts w:eastAsia="Calibri"/>
        </w:rPr>
        <w:t xml:space="preserve"> y no muestran la incapacidad para cumplir con el reglamento orgánico. Se puede emitir una Notificación de Incumplimiento Menor con el certificado orgánico o durante cualquier revisión realizada por QCS, y la corrección debe ocurrir con el plazo especificado en el aviso. Una Notificación de Incumplimiento Menor puede escalar a una Notificación de Incumplimiento si las condiciones no se cumplen satisfactoriamente dentro del plazo necesario.</w:t>
      </w:r>
    </w:p>
    <w:p w14:paraId="339E0F10" w14:textId="1C381385" w:rsidR="00E96601" w:rsidRPr="00EA3B2D" w:rsidRDefault="00E96601" w:rsidP="007C4F17">
      <w:pPr>
        <w:pStyle w:val="Heading3"/>
        <w:rPr>
          <w:lang w:val="es-ES"/>
        </w:rPr>
      </w:pPr>
      <w:r w:rsidRPr="227E1361">
        <w:rPr>
          <w:lang w:val="es-ES"/>
        </w:rPr>
        <w:t>Notificación de Incumplimiento</w:t>
      </w:r>
      <w:r w:rsidR="00621031">
        <w:rPr>
          <w:lang w:val="es-ES"/>
        </w:rPr>
        <w:t xml:space="preserve"> - NOP</w:t>
      </w:r>
      <w:r w:rsidRPr="00077910">
        <w:rPr>
          <w:rFonts w:cs="Times New Roman"/>
          <w:vertAlign w:val="superscript"/>
        </w:rPr>
        <w:footnoteReference w:id="20"/>
      </w:r>
    </w:p>
    <w:p w14:paraId="51B49D5F" w14:textId="77777777" w:rsidR="00E96601" w:rsidRPr="00E143B4" w:rsidRDefault="00E96601" w:rsidP="00E96601">
      <w:pPr>
        <w:rPr>
          <w:rFonts w:eastAsia="Calibri"/>
          <w:lang w:val="es-ES"/>
        </w:rPr>
      </w:pPr>
      <w:r w:rsidRPr="227E1361">
        <w:rPr>
          <w:rFonts w:eastAsia="Calibri"/>
        </w:rPr>
        <w:t xml:space="preserve">Si QCS cree que un solicitante o cliente no puede cumplir o no ha cumplido con los requisitos de las normas pertinentes, QCS proporciona una </w:t>
      </w:r>
      <w:r w:rsidRPr="227E1361">
        <w:rPr>
          <w:rFonts w:eastAsia="Calibri"/>
          <w:i/>
          <w:iCs/>
        </w:rPr>
        <w:t xml:space="preserve">Notificación de Incumplimiento </w:t>
      </w:r>
      <w:r w:rsidRPr="227E1361">
        <w:rPr>
          <w:rFonts w:eastAsia="Calibri"/>
        </w:rPr>
        <w:t xml:space="preserve">por escrito. El solicitante o cliente debe responder por escrito con evidencia satisfactoria de cumplimiento dentro de los 30 días de la decisión. La </w:t>
      </w:r>
      <w:r w:rsidRPr="227E1361">
        <w:rPr>
          <w:rFonts w:eastAsia="Calibri"/>
          <w:i/>
          <w:iCs/>
        </w:rPr>
        <w:t>Notificación de Incumplimiento</w:t>
      </w:r>
      <w:r w:rsidRPr="227E1361">
        <w:rPr>
          <w:rFonts w:eastAsia="Calibri"/>
        </w:rPr>
        <w:t xml:space="preserve"> debe proporcionar:</w:t>
      </w:r>
    </w:p>
    <w:p w14:paraId="19062712" w14:textId="77777777" w:rsidR="00E96601" w:rsidRPr="00701454" w:rsidRDefault="00E96601" w:rsidP="002735CF">
      <w:pPr>
        <w:pStyle w:val="ListParagraph"/>
        <w:numPr>
          <w:ilvl w:val="0"/>
          <w:numId w:val="14"/>
        </w:numPr>
        <w:contextualSpacing w:val="0"/>
        <w:rPr>
          <w:rFonts w:eastAsia="Calibri"/>
          <w:lang w:val="es-ES"/>
        </w:rPr>
      </w:pPr>
      <w:r w:rsidRPr="227E1361">
        <w:rPr>
          <w:rFonts w:eastAsia="Calibri"/>
        </w:rPr>
        <w:t>Una descripción de cada incumplimiento;</w:t>
      </w:r>
    </w:p>
    <w:p w14:paraId="1C15A40D" w14:textId="77777777" w:rsidR="00E96601" w:rsidRPr="00701454" w:rsidRDefault="00E96601" w:rsidP="002735CF">
      <w:pPr>
        <w:pStyle w:val="ListParagraph"/>
        <w:numPr>
          <w:ilvl w:val="0"/>
          <w:numId w:val="14"/>
        </w:numPr>
        <w:contextualSpacing w:val="0"/>
        <w:rPr>
          <w:rFonts w:eastAsia="Calibri"/>
          <w:lang w:val="es-ES"/>
        </w:rPr>
      </w:pPr>
      <w:r w:rsidRPr="227E1361">
        <w:rPr>
          <w:rFonts w:eastAsia="Calibri"/>
        </w:rPr>
        <w:t>Los hechos en los que se basa la notificación de incumplimiento; y</w:t>
      </w:r>
    </w:p>
    <w:p w14:paraId="05433748" w14:textId="77777777" w:rsidR="00E96601" w:rsidRPr="00701454" w:rsidRDefault="00E96601" w:rsidP="002735CF">
      <w:pPr>
        <w:pStyle w:val="ListParagraph"/>
        <w:numPr>
          <w:ilvl w:val="0"/>
          <w:numId w:val="14"/>
        </w:numPr>
        <w:contextualSpacing w:val="0"/>
        <w:rPr>
          <w:rFonts w:eastAsia="Calibri"/>
          <w:lang w:val="es-ES"/>
        </w:rPr>
      </w:pPr>
      <w:r w:rsidRPr="227E1361">
        <w:rPr>
          <w:rFonts w:eastAsia="Calibri"/>
        </w:rPr>
        <w:t>La fecha en la cual el solicitante o cliente debe refutar o corregir cada incumplimiento, y presentar documentación de respaldo de cada corrección cuando sea posible.</w:t>
      </w:r>
    </w:p>
    <w:p w14:paraId="7EAC6D3D" w14:textId="13738376" w:rsidR="00E96601" w:rsidRPr="00FE7F19" w:rsidRDefault="00AA410E" w:rsidP="007C4F17">
      <w:pPr>
        <w:pStyle w:val="Heading3"/>
        <w:rPr>
          <w:lang w:val="es"/>
        </w:rPr>
      </w:pPr>
      <w:r>
        <w:rPr>
          <w:lang w:val="es"/>
        </w:rPr>
        <w:t>Notificación</w:t>
      </w:r>
      <w:r w:rsidR="00E96601" w:rsidRPr="00FE7F19">
        <w:rPr>
          <w:lang w:val="es"/>
        </w:rPr>
        <w:t xml:space="preserve"> de Incumplimiento – </w:t>
      </w:r>
      <w:r w:rsidR="00621031">
        <w:rPr>
          <w:lang w:val="es"/>
        </w:rPr>
        <w:t>Reglamento</w:t>
      </w:r>
      <w:r w:rsidR="00E96601" w:rsidRPr="00FE7F19">
        <w:rPr>
          <w:lang w:val="es"/>
        </w:rPr>
        <w:t xml:space="preserve"> (UE) 2018/848</w:t>
      </w:r>
      <w:r w:rsidR="002F6949">
        <w:rPr>
          <w:rStyle w:val="FootnoteReference"/>
          <w:lang w:val="es"/>
        </w:rPr>
        <w:footnoteReference w:id="21"/>
      </w:r>
    </w:p>
    <w:p w14:paraId="37E7C42F" w14:textId="77777777" w:rsidR="00E96601" w:rsidRPr="00FE7F19" w:rsidRDefault="00E96601" w:rsidP="00E96601">
      <w:pPr>
        <w:spacing w:line="240" w:lineRule="auto"/>
        <w:rPr>
          <w:rFonts w:eastAsia="Calibri"/>
          <w:lang w:val="es"/>
        </w:rPr>
      </w:pPr>
      <w:r w:rsidRPr="00FE7F19">
        <w:rPr>
          <w:rFonts w:eastAsia="Calibri"/>
          <w:lang w:val="es"/>
        </w:rPr>
        <w:t>QCS enviará una Notificación de Incumplimiento al operador detallando los resultados de la evaluación actual, y si es necesario, solicitando una acción correctiva dentro de los 30 días de su recepción. La respuesta debe proporcionar evidencia de la finalización de las acciones correctivas tomadas para abordar cada incumplimiento o presentar un plan con hitos sobre cómo se abordará cada incumplimiento.</w:t>
      </w:r>
    </w:p>
    <w:p w14:paraId="515DFED6" w14:textId="77777777" w:rsidR="00E96601" w:rsidRPr="000321A8" w:rsidRDefault="00E96601" w:rsidP="007C4F17">
      <w:pPr>
        <w:pStyle w:val="Heading3"/>
        <w:rPr>
          <w:lang w:val="es-ES"/>
        </w:rPr>
      </w:pPr>
      <w:r w:rsidRPr="227E1361">
        <w:lastRenderedPageBreak/>
        <w:t>Notificación de Incumplimiento –</w:t>
      </w:r>
      <w:r>
        <w:t xml:space="preserve"> </w:t>
      </w:r>
      <w:r w:rsidRPr="227E1361">
        <w:t>COR</w:t>
      </w:r>
    </w:p>
    <w:p w14:paraId="1E0647B0" w14:textId="77777777" w:rsidR="00E96601" w:rsidRPr="000321A8" w:rsidRDefault="00E96601" w:rsidP="00E96601">
      <w:pPr>
        <w:rPr>
          <w:rFonts w:eastAsia="Calibri"/>
          <w:lang w:val="es-ES"/>
        </w:rPr>
      </w:pPr>
      <w:r w:rsidRPr="227E1361">
        <w:rPr>
          <w:rFonts w:eastAsia="Calibri"/>
        </w:rPr>
        <w:t>QCS enviará una Notificación de Incumplimiento al operador en la que describirá los resultados de la evaluación actual y, si es necesario, solicitará medidas correctivas dentro de los 30 días posteriores a su recepción. La respuesta debe proporcionar evidencia de la finalización de las acciones correctivas tomadas para abordar cada incumplimiento o presentar un plan con hitos sobre cómo se abordará cada incumplimiento. Este plan debe incluir una fecha de finalización que no exceda los 90 días desde la recepción de los incumplimientos. QCS también puede aceptar tiempos mayores que los establecidos para el cierre de un incumplimiento siempre que estén justificados y documentados.</w:t>
      </w:r>
    </w:p>
    <w:p w14:paraId="71F8ECA6" w14:textId="77777777" w:rsidR="00E96601" w:rsidRPr="00EA46D0" w:rsidRDefault="00E96601" w:rsidP="007C4F17">
      <w:pPr>
        <w:pStyle w:val="Heading3"/>
        <w:rPr>
          <w:lang w:val="es-ES"/>
        </w:rPr>
      </w:pPr>
      <w:r w:rsidRPr="227E1361">
        <w:t>Notificación de Incumplimiento –</w:t>
      </w:r>
      <w:r>
        <w:t xml:space="preserve"> </w:t>
      </w:r>
      <w:r w:rsidRPr="227E1361">
        <w:t>R</w:t>
      </w:r>
      <w:r>
        <w:t xml:space="preserve">egenerative </w:t>
      </w:r>
      <w:r w:rsidRPr="227E1361">
        <w:t>O</w:t>
      </w:r>
      <w:r>
        <w:t xml:space="preserve">rganic </w:t>
      </w:r>
      <w:r w:rsidRPr="227E1361">
        <w:t>C</w:t>
      </w:r>
      <w:r>
        <w:t>ertified®</w:t>
      </w:r>
    </w:p>
    <w:p w14:paraId="759B819B" w14:textId="77777777" w:rsidR="00E96601" w:rsidRPr="00EA46D0" w:rsidRDefault="00E96601" w:rsidP="00E96601">
      <w:pPr>
        <w:rPr>
          <w:rFonts w:eastAsia="Calibri"/>
          <w:lang w:val="es-ES"/>
        </w:rPr>
      </w:pPr>
      <w:r w:rsidRPr="227E1361">
        <w:rPr>
          <w:rFonts w:eastAsia="Calibri"/>
        </w:rPr>
        <w:t>QCS enviará una Notificación de Incumplimiento al operador describiendo los resultados de la evaluación actual y, si es necesario, solicitando medidas correctivas con 45 días o la operación no logrará o mantendrá la certificación. Si el operador no responde dentro de los plazos indicados anteriormente, QCS envía un aviso por escrito indicando que no se emitirá el certificado al cliente, o para clientes con un certificado existente, que el certificado se revocará en 45 días si no se toman medidas correctivas, a menos que se requiera más tiempo para completar la acción correctiva, en cuyo caso el operador deberá solicitar tiempo adicional a QCS y obtener la aprobación de QCS antes de los 45 días. Si el cliente no toma medidas, QCS emitirá una Notificación de Revocación.</w:t>
      </w:r>
    </w:p>
    <w:p w14:paraId="39CDEA46" w14:textId="6EE41578" w:rsidR="00E96601" w:rsidRPr="00AA2939" w:rsidRDefault="00E96601" w:rsidP="007C4F17">
      <w:pPr>
        <w:pStyle w:val="Heading3"/>
        <w:rPr>
          <w:lang w:val="es-ES"/>
        </w:rPr>
      </w:pPr>
      <w:r w:rsidRPr="227E1361">
        <w:rPr>
          <w:lang w:val="es-ES"/>
        </w:rPr>
        <w:t>Resolución de la Notificación de Incumplimiento – NOP</w:t>
      </w:r>
      <w:r w:rsidRPr="00077910">
        <w:rPr>
          <w:rFonts w:cs="Times New Roman"/>
          <w:vertAlign w:val="superscript"/>
        </w:rPr>
        <w:footnoteReference w:id="22"/>
      </w:r>
    </w:p>
    <w:p w14:paraId="2BA14138" w14:textId="77777777" w:rsidR="00E96601" w:rsidRPr="00352CC2" w:rsidRDefault="00E96601" w:rsidP="00E96601">
      <w:pPr>
        <w:rPr>
          <w:rFonts w:eastAsia="Times New Roman"/>
          <w:lang w:val="es-ES"/>
        </w:rPr>
      </w:pPr>
      <w:r w:rsidRPr="227E1361">
        <w:rPr>
          <w:rFonts w:eastAsia="Times New Roman"/>
        </w:rPr>
        <w:t>En respuesta a una Notificación de incumplimiento, el solicitante o cliente puede:</w:t>
      </w:r>
    </w:p>
    <w:p w14:paraId="644FC740" w14:textId="77777777" w:rsidR="00E96601" w:rsidRPr="00352CC2" w:rsidRDefault="00E96601" w:rsidP="00E96601">
      <w:pPr>
        <w:pStyle w:val="ListParagraph"/>
        <w:numPr>
          <w:ilvl w:val="0"/>
          <w:numId w:val="6"/>
        </w:numPr>
        <w:contextualSpacing w:val="0"/>
        <w:rPr>
          <w:rFonts w:eastAsia="Times New Roman"/>
          <w:lang w:val="es-ES"/>
        </w:rPr>
      </w:pPr>
      <w:r w:rsidRPr="227E1361">
        <w:rPr>
          <w:rFonts w:eastAsia="Times New Roman"/>
        </w:rPr>
        <w:t>Corregir los incumplimientos y enviar una descripción de las acciones correctivas tomadas con la documentación de respaldo a QCS;</w:t>
      </w:r>
    </w:p>
    <w:p w14:paraId="639BCE25" w14:textId="77777777" w:rsidR="00E96601" w:rsidRDefault="00E96601" w:rsidP="00E96601">
      <w:pPr>
        <w:pStyle w:val="ListParagraph"/>
        <w:numPr>
          <w:ilvl w:val="0"/>
          <w:numId w:val="6"/>
        </w:numPr>
        <w:contextualSpacing w:val="0"/>
        <w:rPr>
          <w:rFonts w:eastAsia="Times New Roman"/>
          <w:lang w:val="es-ES"/>
        </w:rPr>
      </w:pPr>
      <w:r w:rsidRPr="227E1361">
        <w:rPr>
          <w:rFonts w:eastAsia="Times New Roman"/>
        </w:rPr>
        <w:t xml:space="preserve">Corregir los incumplimientos y presente una nueva solicitud a otro agente certificador: </w:t>
      </w:r>
      <w:r w:rsidRPr="227E1361">
        <w:rPr>
          <w:rFonts w:eastAsia="Times New Roman"/>
          <w:u w:val="single"/>
        </w:rPr>
        <w:t>siempre</w:t>
      </w:r>
      <w:r w:rsidRPr="227E1361">
        <w:rPr>
          <w:rFonts w:eastAsia="Times New Roman"/>
        </w:rPr>
        <w:t xml:space="preserve"> </w:t>
      </w:r>
      <w:r w:rsidRPr="227E1361">
        <w:rPr>
          <w:rFonts w:eastAsia="Times New Roman"/>
          <w:u w:val="single"/>
        </w:rPr>
        <w:t>y cuando</w:t>
      </w:r>
      <w:r w:rsidRPr="227E1361">
        <w:rPr>
          <w:rFonts w:eastAsia="Times New Roman"/>
        </w:rPr>
        <w:t xml:space="preserve"> el solicitante incluya una solicitud completa, la notificación de incumplimiento recibida de QCS y una descripción de las acciones correctivas tomadas con la documentación de respaldo; </w:t>
      </w:r>
    </w:p>
    <w:p w14:paraId="6B4050DC" w14:textId="77777777" w:rsidR="00E96601" w:rsidRPr="00352CC2" w:rsidRDefault="00E96601" w:rsidP="00E96601">
      <w:pPr>
        <w:pStyle w:val="ListParagraph"/>
        <w:numPr>
          <w:ilvl w:val="0"/>
          <w:numId w:val="6"/>
        </w:numPr>
        <w:contextualSpacing w:val="0"/>
        <w:rPr>
          <w:rFonts w:eastAsia="Times New Roman"/>
          <w:lang w:val="es-ES"/>
        </w:rPr>
      </w:pPr>
      <w:r w:rsidRPr="227E1361">
        <w:rPr>
          <w:rFonts w:eastAsia="Times New Roman"/>
        </w:rPr>
        <w:t>Envíe información por escrito a QCS para refutar el incumplimiento descrito en la Notificación de Incumplimiento.</w:t>
      </w:r>
    </w:p>
    <w:p w14:paraId="1D6AE596" w14:textId="77777777" w:rsidR="00E96601" w:rsidRPr="00C5578C" w:rsidRDefault="00E96601" w:rsidP="00E96601">
      <w:pPr>
        <w:rPr>
          <w:rFonts w:eastAsia="Calibri"/>
          <w:lang w:val="es-ES"/>
        </w:rPr>
      </w:pPr>
      <w:r w:rsidRPr="227E1361">
        <w:rPr>
          <w:rFonts w:eastAsia="Calibri"/>
        </w:rPr>
        <w:t>Una vez que el solicitante o cliente recibe las acciones correctivas, QCS evalúa las acciones correctivas tomadas y la documentación de respaldo presentada o la refutación por escrito, y realiza una inspección in situ si es necesario. QCS puede en cualquier momento del proceso de decisión de certificación solicitar más información para determinar el cumplimiento de las normas relevantes.</w:t>
      </w:r>
    </w:p>
    <w:p w14:paraId="28F66111" w14:textId="77777777" w:rsidR="00E96601" w:rsidRPr="007A652E" w:rsidRDefault="00E96601" w:rsidP="00E96601">
      <w:pPr>
        <w:rPr>
          <w:rFonts w:eastAsia="Times New Roman"/>
          <w:lang w:val="es-ES"/>
        </w:rPr>
      </w:pPr>
      <w:r w:rsidRPr="227E1361">
        <w:rPr>
          <w:rFonts w:eastAsia="Times New Roman"/>
        </w:rPr>
        <w:t>Cuando la acción correctiva o refutación es suficiente para que el solicitante califique para la certificación, QCS emite al solicitante una aprobación de certificación de conformidad con la Concesión de la Certificación.</w:t>
      </w:r>
    </w:p>
    <w:p w14:paraId="0EF69E26" w14:textId="77777777" w:rsidR="00E96601" w:rsidRPr="007A652E" w:rsidRDefault="00E96601" w:rsidP="00E96601">
      <w:pPr>
        <w:rPr>
          <w:rFonts w:eastAsia="Times New Roman"/>
          <w:lang w:val="es-ES"/>
        </w:rPr>
      </w:pPr>
      <w:r w:rsidRPr="227E1361">
        <w:rPr>
          <w:rFonts w:eastAsia="Times New Roman"/>
        </w:rPr>
        <w:t>Cuando la acción correctiva o la refutación no es suficiente para que el solicitante califique para la certificación, o si el solicitante no responde dentro del plazo establecido, QCS emite un Notificación de Denegación de Certificación.</w:t>
      </w:r>
    </w:p>
    <w:p w14:paraId="261DCA88" w14:textId="6C22F070" w:rsidR="00E96601" w:rsidRPr="00C56C91" w:rsidRDefault="00E96601" w:rsidP="007C4F17">
      <w:pPr>
        <w:pStyle w:val="Heading3"/>
        <w:rPr>
          <w:lang w:val="es-ES"/>
        </w:rPr>
      </w:pPr>
      <w:r w:rsidRPr="227E1361">
        <w:rPr>
          <w:lang w:val="es-ES"/>
        </w:rPr>
        <w:lastRenderedPageBreak/>
        <w:t>Resolución de la Notificación de Incumplimiento -</w:t>
      </w:r>
      <w:r w:rsidR="00814021">
        <w:rPr>
          <w:lang w:val="es-ES"/>
        </w:rPr>
        <w:t xml:space="preserve"> </w:t>
      </w:r>
      <w:r w:rsidRPr="00290C95">
        <w:rPr>
          <w:lang w:val="es-ES"/>
        </w:rPr>
        <w:t>COR</w:t>
      </w:r>
      <w:r w:rsidRPr="00077910">
        <w:rPr>
          <w:rStyle w:val="FootnoteReference"/>
          <w:rFonts w:asciiTheme="majorHAnsi" w:hAnsiTheme="majorHAnsi" w:cstheme="majorHAnsi"/>
        </w:rPr>
        <w:footnoteReference w:id="23"/>
      </w:r>
    </w:p>
    <w:p w14:paraId="5FEF9C1F" w14:textId="77777777" w:rsidR="00E96601" w:rsidRPr="00C56C91" w:rsidRDefault="00E96601" w:rsidP="00E96601">
      <w:r w:rsidRPr="227E1361">
        <w:t xml:space="preserve">QCS informa al operador de todos los incumplimientos y requiere que el operador responda a la Notificación de Incumplimiento emitida por QCS dentro de los 30 días posteriores a su recepción. La respuesta proporciona evidencia de la finalización de las acciones correctivas tomadas para abordar cada incumplimiento o presenta un plan con hitos sobre cómo se abordará cada incumplimiento. El plan debe incluir una fecha de finalización que no exceda los 90 días desde la recepción del </w:t>
      </w:r>
      <w:r w:rsidRPr="00042B64">
        <w:t>incumplimiento. QCS puede aceptar tiempos mayores que los establecidos para el cierre de un incumplimiento siempre que estén justificados y documentados.</w:t>
      </w:r>
    </w:p>
    <w:p w14:paraId="06452D81" w14:textId="3F18929B" w:rsidR="00E96601" w:rsidRDefault="00E96601" w:rsidP="007C4F17">
      <w:pPr>
        <w:pStyle w:val="Heading3"/>
        <w:rPr>
          <w:lang w:val="es"/>
        </w:rPr>
      </w:pPr>
      <w:r w:rsidRPr="00FE7F19">
        <w:rPr>
          <w:lang w:val="es"/>
        </w:rPr>
        <w:t xml:space="preserve">Aceptación de Acción Correctiva o Refutación – </w:t>
      </w:r>
      <w:r w:rsidR="00814021">
        <w:rPr>
          <w:lang w:val="es"/>
        </w:rPr>
        <w:t>Reglamento</w:t>
      </w:r>
      <w:r w:rsidRPr="00FE7F19">
        <w:rPr>
          <w:lang w:val="es"/>
        </w:rPr>
        <w:t xml:space="preserve"> (UE) 2018/848</w:t>
      </w:r>
    </w:p>
    <w:p w14:paraId="26EF51FB" w14:textId="77777777" w:rsidR="00E96601" w:rsidRPr="00FE7F19" w:rsidRDefault="00E96601" w:rsidP="00E96601">
      <w:pPr>
        <w:rPr>
          <w:lang w:val="es"/>
        </w:rPr>
      </w:pPr>
      <w:r w:rsidRPr="00FE7F19">
        <w:rPr>
          <w:lang w:val="es"/>
        </w:rPr>
        <w:t>Una operación puede presentar un plan escrito para la acción correctiva o puede refutar el incumplimiento. QCS evalúa las acciones correctivas tomadas y la documentación de apoyo o la refutación escrita y realiza una inspección en el sitio si es necesario. QCS puede, en cualquier momento durante el proceso de decisión de certificación, solicitar más información para determinar el cumplimiento con las normas relevantes.</w:t>
      </w:r>
    </w:p>
    <w:p w14:paraId="4628D2CA" w14:textId="77777777" w:rsidR="00E96601" w:rsidRPr="00FE7F19" w:rsidRDefault="00E96601" w:rsidP="00E96601">
      <w:pPr>
        <w:rPr>
          <w:lang w:val="es"/>
        </w:rPr>
      </w:pPr>
      <w:r w:rsidRPr="00FE7F19">
        <w:rPr>
          <w:lang w:val="es"/>
        </w:rPr>
        <w:t>Cuando la acción correctiva o refutación es suficiente para que el solicitante califique para la certificación, QCS notifica al solicitante que la acción correctiva o refutación fue aceptada y emite al solicitante una aprobación de certificación de acuerdo con la Concesión de Certificación.</w:t>
      </w:r>
    </w:p>
    <w:p w14:paraId="272B6999" w14:textId="77777777" w:rsidR="00E96601" w:rsidRDefault="00E96601" w:rsidP="00E96601">
      <w:pPr>
        <w:rPr>
          <w:lang w:val="es"/>
        </w:rPr>
      </w:pPr>
      <w:r w:rsidRPr="00FE7F19">
        <w:rPr>
          <w:lang w:val="es"/>
        </w:rPr>
        <w:t>Cuando la acción correctiva o refutación no es suficiente para que el solicitante califique para la certificación, o si el solicitante no responde dentro del plazo establecido, QCS emitirá un Aviso de Denegación de Certificación.</w:t>
      </w:r>
    </w:p>
    <w:p w14:paraId="0D1436DB" w14:textId="538F0D34" w:rsidR="008B4FC9" w:rsidRDefault="008B4FC9" w:rsidP="007C4F17">
      <w:pPr>
        <w:pStyle w:val="Heading2"/>
      </w:pPr>
      <w:r>
        <w:t>Acciones adversas y sanciones</w:t>
      </w:r>
    </w:p>
    <w:p w14:paraId="2D4446E2" w14:textId="000E0230" w:rsidR="00CF204E" w:rsidRDefault="227E1361" w:rsidP="00337BBD">
      <w:pPr>
        <w:rPr>
          <w:rFonts w:eastAsia="Times New Roman"/>
        </w:rPr>
      </w:pPr>
      <w:r w:rsidRPr="227E1361">
        <w:rPr>
          <w:rFonts w:eastAsia="Times New Roman"/>
        </w:rPr>
        <w:t xml:space="preserve">Cuando la acción correctiva o la refutación no es suficiente </w:t>
      </w:r>
      <w:r w:rsidR="008B4FC9">
        <w:rPr>
          <w:rFonts w:eastAsia="Times New Roman"/>
        </w:rPr>
        <w:t xml:space="preserve">para corregir </w:t>
      </w:r>
      <w:r w:rsidRPr="227E1361">
        <w:rPr>
          <w:rFonts w:eastAsia="Times New Roman"/>
        </w:rPr>
        <w:t xml:space="preserve">un </w:t>
      </w:r>
      <w:r w:rsidR="006C6ACE">
        <w:rPr>
          <w:rFonts w:eastAsia="Times New Roman"/>
        </w:rPr>
        <w:t>i</w:t>
      </w:r>
      <w:r w:rsidRPr="007C4F17">
        <w:rPr>
          <w:rFonts w:eastAsia="Times New Roman"/>
        </w:rPr>
        <w:t>ncumplimiento</w:t>
      </w:r>
      <w:r w:rsidR="006C6ACE">
        <w:rPr>
          <w:rFonts w:eastAsia="Times New Roman"/>
        </w:rPr>
        <w:t xml:space="preserve">, </w:t>
      </w:r>
      <w:r w:rsidR="00BD06F4" w:rsidRPr="00BD06F4">
        <w:rPr>
          <w:rFonts w:eastAsia="Times New Roman"/>
        </w:rPr>
        <w:t xml:space="preserve">no </w:t>
      </w:r>
      <w:r w:rsidR="0021123B">
        <w:rPr>
          <w:rFonts w:eastAsia="Times New Roman"/>
        </w:rPr>
        <w:t xml:space="preserve">se </w:t>
      </w:r>
      <w:r w:rsidR="00BD06F4" w:rsidRPr="00BD06F4">
        <w:rPr>
          <w:rFonts w:eastAsia="Times New Roman"/>
        </w:rPr>
        <w:t>presenta dentro del plazo establecido en el plazo prescrito, o no es posible corregir el incumplimiento, QCS emite una acción adversa o sanción</w:t>
      </w:r>
      <w:r w:rsidRPr="227E1361">
        <w:rPr>
          <w:rFonts w:eastAsia="Times New Roman"/>
        </w:rPr>
        <w:t>.</w:t>
      </w:r>
      <w:r w:rsidR="00562080">
        <w:rPr>
          <w:rFonts w:eastAsia="Times New Roman"/>
        </w:rPr>
        <w:t xml:space="preserve"> </w:t>
      </w:r>
    </w:p>
    <w:p w14:paraId="3CD6E995" w14:textId="77777777" w:rsidR="00562080" w:rsidRPr="00A65F19" w:rsidRDefault="00562080" w:rsidP="00562080">
      <w:pPr>
        <w:pStyle w:val="Heading3"/>
        <w:rPr>
          <w:b w:val="0"/>
          <w:lang w:val="es-ES"/>
        </w:rPr>
      </w:pPr>
      <w:r w:rsidRPr="227E1361">
        <w:t>Denegación de la Certificación</w:t>
      </w:r>
    </w:p>
    <w:p w14:paraId="1BCBCA6E" w14:textId="77777777" w:rsidR="00562080" w:rsidRPr="00EF6EC4" w:rsidRDefault="00562080" w:rsidP="00562080">
      <w:pPr>
        <w:rPr>
          <w:lang w:val="es-ES"/>
        </w:rPr>
      </w:pPr>
      <w:r w:rsidRPr="227E1361">
        <w:t xml:space="preserve">QCS emite a un solicitante un </w:t>
      </w:r>
      <w:r w:rsidRPr="227E1361">
        <w:rPr>
          <w:i/>
          <w:iCs/>
        </w:rPr>
        <w:t>Notificación de Denegación de Certificación</w:t>
      </w:r>
      <w:r w:rsidRPr="227E1361">
        <w:t xml:space="preserve"> por escrito cuando las operaciones y / o productos de un solicitante no cumplen con los requisitos y / o el operador no responde con acciones correctivas. Este puede combinarse con una </w:t>
      </w:r>
      <w:r w:rsidRPr="227E1361">
        <w:rPr>
          <w:i/>
          <w:iCs/>
        </w:rPr>
        <w:t>Notificación de Incumplimiento</w:t>
      </w:r>
      <w:r w:rsidRPr="227E1361">
        <w:t>.</w:t>
      </w:r>
      <w:r>
        <w:t xml:space="preserve"> </w:t>
      </w:r>
    </w:p>
    <w:p w14:paraId="74219482" w14:textId="77777777" w:rsidR="00562080" w:rsidRPr="007E4A0F" w:rsidRDefault="00562080" w:rsidP="00562080">
      <w:pPr>
        <w:rPr>
          <w:lang w:val="es-ES"/>
        </w:rPr>
      </w:pPr>
      <w:r w:rsidRPr="227E1361">
        <w:t>Una notificación de denegación de certificación debe indicar los motivos de la denegación y el derecho del solicitante a:</w:t>
      </w:r>
    </w:p>
    <w:p w14:paraId="474B220F" w14:textId="77777777" w:rsidR="00562080" w:rsidRPr="007E4A0F" w:rsidRDefault="00562080" w:rsidP="002735CF">
      <w:pPr>
        <w:pStyle w:val="ListParagraph"/>
        <w:numPr>
          <w:ilvl w:val="0"/>
          <w:numId w:val="15"/>
        </w:numPr>
        <w:rPr>
          <w:rFonts w:eastAsia="Times New Roman"/>
          <w:lang w:val="es-ES"/>
        </w:rPr>
      </w:pPr>
      <w:r w:rsidRPr="227E1361">
        <w:rPr>
          <w:rFonts w:eastAsia="Times New Roman"/>
        </w:rPr>
        <w:t>Las razones de la negación;</w:t>
      </w:r>
    </w:p>
    <w:p w14:paraId="28666368" w14:textId="77777777" w:rsidR="00562080" w:rsidRPr="007E4A0F" w:rsidRDefault="00562080" w:rsidP="002735CF">
      <w:pPr>
        <w:pStyle w:val="ListParagraph"/>
        <w:numPr>
          <w:ilvl w:val="0"/>
          <w:numId w:val="15"/>
        </w:numPr>
        <w:rPr>
          <w:rFonts w:eastAsia="Times New Roman"/>
          <w:lang w:val="es-ES"/>
        </w:rPr>
      </w:pPr>
      <w:r w:rsidRPr="227E1361">
        <w:rPr>
          <w:rFonts w:eastAsia="Times New Roman"/>
        </w:rPr>
        <w:t>Pasos para resolver la Notificación combinada de Incumplimiento y Denegación;</w:t>
      </w:r>
    </w:p>
    <w:p w14:paraId="7B004AF8" w14:textId="77777777" w:rsidR="00562080" w:rsidRPr="007E4A0F" w:rsidRDefault="00562080" w:rsidP="002735CF">
      <w:pPr>
        <w:pStyle w:val="ListParagraph"/>
        <w:numPr>
          <w:ilvl w:val="0"/>
          <w:numId w:val="15"/>
        </w:numPr>
        <w:spacing w:line="240" w:lineRule="auto"/>
        <w:rPr>
          <w:rFonts w:eastAsia="Times New Roman"/>
        </w:rPr>
      </w:pPr>
      <w:r w:rsidRPr="227E1361">
        <w:rPr>
          <w:rFonts w:eastAsia="Times New Roman"/>
        </w:rPr>
        <w:t>Volver a solicitar la certificación de conformidad con el Paquete de solicitud descrito en el PRIMER PASO;</w:t>
      </w:r>
    </w:p>
    <w:p w14:paraId="55490327" w14:textId="77777777" w:rsidR="00562080" w:rsidRPr="007E4A0F" w:rsidRDefault="00562080" w:rsidP="002735CF">
      <w:pPr>
        <w:pStyle w:val="ListParagraph"/>
        <w:numPr>
          <w:ilvl w:val="0"/>
          <w:numId w:val="15"/>
        </w:numPr>
        <w:rPr>
          <w:rFonts w:eastAsia="Times New Roman"/>
          <w:lang w:val="es-ES"/>
        </w:rPr>
      </w:pPr>
      <w:r w:rsidRPr="227E1361">
        <w:rPr>
          <w:rFonts w:eastAsia="Times New Roman"/>
        </w:rPr>
        <w:t>Solicitar mediación de conformidad;</w:t>
      </w:r>
    </w:p>
    <w:p w14:paraId="6D0AE122" w14:textId="77777777" w:rsidR="00562080" w:rsidRPr="007E4A0F" w:rsidRDefault="00562080" w:rsidP="002735CF">
      <w:pPr>
        <w:pStyle w:val="ListParagraph"/>
        <w:numPr>
          <w:ilvl w:val="0"/>
          <w:numId w:val="15"/>
        </w:numPr>
        <w:rPr>
          <w:rFonts w:eastAsia="Times New Roman"/>
          <w:lang w:val="es-ES"/>
        </w:rPr>
      </w:pPr>
      <w:r w:rsidRPr="227E1361">
        <w:rPr>
          <w:rFonts w:eastAsia="Times New Roman"/>
        </w:rPr>
        <w:t xml:space="preserve">Presentar una apelación de la denegación de certificación de conformidad con las apelaciones. </w:t>
      </w:r>
    </w:p>
    <w:p w14:paraId="556BB9C1" w14:textId="77777777" w:rsidR="00562080" w:rsidRPr="008C24EE" w:rsidRDefault="00562080" w:rsidP="00562080">
      <w:pPr>
        <w:rPr>
          <w:rFonts w:eastAsia="Times New Roman"/>
          <w:lang w:val="es-ES"/>
        </w:rPr>
      </w:pPr>
      <w:r w:rsidRPr="227E1361">
        <w:rPr>
          <w:rFonts w:eastAsia="Times New Roman"/>
        </w:rPr>
        <w:t xml:space="preserve">Si QCS tiene razones para creer que un solicitante de certificación ha hecho una declaración falsa intencionalmente o ha tergiversado a propósito la operación del solicitante o su cumplimiento con los </w:t>
      </w:r>
      <w:r w:rsidRPr="227E1361">
        <w:rPr>
          <w:rFonts w:eastAsia="Times New Roman"/>
        </w:rPr>
        <w:lastRenderedPageBreak/>
        <w:t>requisitos de certificación de conformidad con esta parte, QCS puede negar la certificación sin emitir primero una notificación de incumplimiento.</w:t>
      </w:r>
    </w:p>
    <w:p w14:paraId="1737993E" w14:textId="7312C623" w:rsidR="00CF204E" w:rsidRPr="00BF0EAE" w:rsidRDefault="005B2C2C" w:rsidP="000874C8">
      <w:pPr>
        <w:pStyle w:val="Heading3"/>
        <w:rPr>
          <w:b w:val="0"/>
          <w:highlight w:val="yellow"/>
          <w:lang w:val="es-ES"/>
        </w:rPr>
      </w:pPr>
      <w:r w:rsidRPr="227E1361">
        <w:rPr>
          <w:lang w:val="es-ES"/>
        </w:rPr>
        <w:t>Notificación</w:t>
      </w:r>
      <w:r w:rsidR="00BF0EAE" w:rsidRPr="227E1361">
        <w:rPr>
          <w:lang w:val="es-ES"/>
        </w:rPr>
        <w:t xml:space="preserve"> de </w:t>
      </w:r>
      <w:r w:rsidR="00B90EC4" w:rsidRPr="227E1361">
        <w:rPr>
          <w:lang w:val="es-ES"/>
        </w:rPr>
        <w:t xml:space="preserve">Propuesta de </w:t>
      </w:r>
      <w:r w:rsidR="00BF0EAE" w:rsidRPr="227E1361">
        <w:rPr>
          <w:lang w:val="es-ES"/>
        </w:rPr>
        <w:t xml:space="preserve">Suspensión </w:t>
      </w:r>
      <w:r w:rsidR="00B90EC4" w:rsidRPr="227E1361">
        <w:rPr>
          <w:lang w:val="es-ES"/>
        </w:rPr>
        <w:t>/</w:t>
      </w:r>
      <w:r w:rsidR="00BF0EAE" w:rsidRPr="227E1361">
        <w:rPr>
          <w:lang w:val="es-ES"/>
        </w:rPr>
        <w:t xml:space="preserve"> </w:t>
      </w:r>
      <w:r w:rsidR="00B90EC4" w:rsidRPr="227E1361">
        <w:rPr>
          <w:lang w:val="es-ES"/>
        </w:rPr>
        <w:t xml:space="preserve">Propuesta de </w:t>
      </w:r>
      <w:r w:rsidR="00BF0EAE" w:rsidRPr="227E1361">
        <w:rPr>
          <w:lang w:val="es-ES"/>
        </w:rPr>
        <w:t xml:space="preserve">Revocación </w:t>
      </w:r>
      <w:r w:rsidR="0067445B" w:rsidRPr="227E1361">
        <w:rPr>
          <w:lang w:val="es-ES"/>
        </w:rPr>
        <w:t>para</w:t>
      </w:r>
      <w:r w:rsidR="00BF0EAE" w:rsidRPr="227E1361">
        <w:rPr>
          <w:lang w:val="es-ES"/>
        </w:rPr>
        <w:t xml:space="preserve"> Cliente</w:t>
      </w:r>
      <w:r w:rsidR="0067445B" w:rsidRPr="227E1361">
        <w:rPr>
          <w:lang w:val="es-ES"/>
        </w:rPr>
        <w:t>s</w:t>
      </w:r>
      <w:r w:rsidR="00BF0EAE" w:rsidRPr="227E1361">
        <w:rPr>
          <w:lang w:val="es-ES"/>
        </w:rPr>
        <w:t xml:space="preserve"> Certificado</w:t>
      </w:r>
      <w:r w:rsidR="0067445B" w:rsidRPr="227E1361">
        <w:rPr>
          <w:lang w:val="es-ES"/>
        </w:rPr>
        <w:t>s</w:t>
      </w:r>
      <w:r w:rsidR="00BF0EAE" w:rsidRPr="227E1361">
        <w:rPr>
          <w:lang w:val="es-ES"/>
        </w:rPr>
        <w:t xml:space="preserve"> -</w:t>
      </w:r>
      <w:r w:rsidR="00E174A8">
        <w:rPr>
          <w:lang w:val="es-ES"/>
        </w:rPr>
        <w:t xml:space="preserve"> </w:t>
      </w:r>
      <w:r w:rsidR="00BF0EAE" w:rsidRPr="227E1361">
        <w:rPr>
          <w:lang w:val="es-ES"/>
        </w:rPr>
        <w:t>NOP</w:t>
      </w:r>
      <w:r w:rsidR="00CF204E" w:rsidRPr="227E1361">
        <w:rPr>
          <w:rFonts w:cs="Times New Roman"/>
          <w:vertAlign w:val="superscript"/>
        </w:rPr>
        <w:footnoteReference w:id="24"/>
      </w:r>
    </w:p>
    <w:p w14:paraId="4AFE9A31" w14:textId="3E4595B8" w:rsidR="00BD2ACF" w:rsidRPr="00E97F01" w:rsidRDefault="227E1361" w:rsidP="00337BBD">
      <w:pPr>
        <w:rPr>
          <w:rFonts w:eastAsia="Calibri"/>
          <w:lang w:val="es-ES"/>
        </w:rPr>
      </w:pPr>
      <w:r w:rsidRPr="227E1361">
        <w:rPr>
          <w:rFonts w:eastAsia="Calibri"/>
        </w:rPr>
        <w:t xml:space="preserve">Cuando la acción correctiva es insuficiente y / o no se completa dentro del período de tiempo prescrito, QCS emite por escrito al cliente certificado una </w:t>
      </w:r>
      <w:r w:rsidRPr="227E1361">
        <w:rPr>
          <w:rFonts w:eastAsia="Calibri"/>
          <w:i/>
          <w:iCs/>
        </w:rPr>
        <w:t>Notificación de Propuesta de Suspensión de la Certificación o Propuesta de Revocación de la Certificación</w:t>
      </w:r>
      <w:r w:rsidRPr="227E1361">
        <w:rPr>
          <w:rFonts w:eastAsia="Calibri"/>
        </w:rPr>
        <w:t>. Estas notificaciones pueden ser de toda la operación o de una parte de la operación. Cuando no es posible corregir un Notificación de Incumplimiento, un incumplimiento puede combinarse con una Notificación de Propuesta de Suspensión o Revocación en una sola Notificación. La Notificación de Propuesta de Suspensión de la Certificación y / o Propuesta de Revocación de la Certificación debe incluir lo siguiente:</w:t>
      </w:r>
    </w:p>
    <w:p w14:paraId="57578A08" w14:textId="1C3F8A7F" w:rsidR="00E97F01" w:rsidRPr="003A6649" w:rsidRDefault="227E1361" w:rsidP="002735CF">
      <w:pPr>
        <w:pStyle w:val="ListParagraph"/>
        <w:numPr>
          <w:ilvl w:val="0"/>
          <w:numId w:val="36"/>
        </w:numPr>
        <w:rPr>
          <w:rFonts w:eastAsia="Calibri"/>
          <w:lang w:val="es-ES"/>
        </w:rPr>
      </w:pPr>
      <w:r w:rsidRPr="003A6649">
        <w:rPr>
          <w:rFonts w:eastAsia="Calibri"/>
        </w:rPr>
        <w:t xml:space="preserve">Los motivos de la </w:t>
      </w:r>
      <w:proofErr w:type="gramStart"/>
      <w:r w:rsidRPr="003A6649">
        <w:rPr>
          <w:rFonts w:eastAsia="Calibri"/>
        </w:rPr>
        <w:t>suspensión propuesta o la revocación propuesta</w:t>
      </w:r>
      <w:proofErr w:type="gramEnd"/>
      <w:r w:rsidRPr="003A6649">
        <w:rPr>
          <w:rFonts w:eastAsia="Calibri"/>
        </w:rPr>
        <w:t>;</w:t>
      </w:r>
    </w:p>
    <w:p w14:paraId="54574B84" w14:textId="037F8FBE" w:rsidR="00E97F01" w:rsidRPr="003A6649" w:rsidRDefault="227E1361" w:rsidP="002735CF">
      <w:pPr>
        <w:pStyle w:val="ListParagraph"/>
        <w:numPr>
          <w:ilvl w:val="0"/>
          <w:numId w:val="36"/>
        </w:numPr>
        <w:rPr>
          <w:rFonts w:eastAsia="Calibri"/>
          <w:lang w:val="es-ES"/>
        </w:rPr>
      </w:pPr>
      <w:r w:rsidRPr="003A6649">
        <w:rPr>
          <w:rFonts w:eastAsia="Calibri"/>
        </w:rPr>
        <w:t>La fecha efectiva de la propuesta de la suspensión o la revocación;</w:t>
      </w:r>
    </w:p>
    <w:p w14:paraId="33F8F566" w14:textId="76582B4A" w:rsidR="00E97F01" w:rsidRPr="003A6649" w:rsidRDefault="227E1361" w:rsidP="002735CF">
      <w:pPr>
        <w:pStyle w:val="ListParagraph"/>
        <w:numPr>
          <w:ilvl w:val="0"/>
          <w:numId w:val="36"/>
        </w:numPr>
        <w:rPr>
          <w:rFonts w:eastAsia="Calibri"/>
          <w:lang w:val="es-ES"/>
        </w:rPr>
      </w:pPr>
      <w:r w:rsidRPr="003A6649">
        <w:rPr>
          <w:rFonts w:eastAsia="Calibri"/>
        </w:rPr>
        <w:t>El impacto de una suspensión o revocación en la elegibilidad futura para la certificación;</w:t>
      </w:r>
    </w:p>
    <w:p w14:paraId="70EB19DA" w14:textId="57B8BEAF" w:rsidR="00E97F01" w:rsidRPr="003A6649" w:rsidRDefault="227E1361" w:rsidP="002735CF">
      <w:pPr>
        <w:pStyle w:val="ListParagraph"/>
        <w:numPr>
          <w:ilvl w:val="0"/>
          <w:numId w:val="36"/>
        </w:numPr>
        <w:rPr>
          <w:rFonts w:eastAsia="Calibri"/>
          <w:lang w:val="es-ES"/>
        </w:rPr>
      </w:pPr>
      <w:r w:rsidRPr="003A6649">
        <w:rPr>
          <w:rFonts w:eastAsia="Calibri"/>
        </w:rPr>
        <w:t>El derecho a solicitar mediación y / o</w:t>
      </w:r>
    </w:p>
    <w:p w14:paraId="4F572306" w14:textId="13F707B1" w:rsidR="00CF204E" w:rsidRPr="003A6649" w:rsidRDefault="227E1361" w:rsidP="002735CF">
      <w:pPr>
        <w:pStyle w:val="ListParagraph"/>
        <w:numPr>
          <w:ilvl w:val="0"/>
          <w:numId w:val="36"/>
        </w:numPr>
        <w:rPr>
          <w:rFonts w:eastAsia="Calibri"/>
          <w:lang w:val="es-ES"/>
        </w:rPr>
      </w:pPr>
      <w:r w:rsidRPr="003A6649">
        <w:rPr>
          <w:rFonts w:eastAsia="Calibri"/>
        </w:rPr>
        <w:t xml:space="preserve">El derecho a presentar una apelación. </w:t>
      </w:r>
    </w:p>
    <w:p w14:paraId="36101506" w14:textId="0E8D7E07" w:rsidR="00CF204E" w:rsidRDefault="227E1361" w:rsidP="00337BBD">
      <w:pPr>
        <w:rPr>
          <w:rFonts w:eastAsia="Calibri"/>
        </w:rPr>
      </w:pPr>
      <w:r w:rsidRPr="227E1361">
        <w:rPr>
          <w:rFonts w:eastAsia="Calibri"/>
        </w:rPr>
        <w:t xml:space="preserve">Si QCS tiene razones para creer que un solicitante de certificación ha violado intencionalmente los estándares, QCS le envía al cliente </w:t>
      </w:r>
      <w:r w:rsidRPr="00FE7F19">
        <w:rPr>
          <w:rFonts w:eastAsia="Calibri"/>
          <w:i/>
          <w:iCs/>
        </w:rPr>
        <w:t>Certificado un Notificación</w:t>
      </w:r>
      <w:r w:rsidRPr="227E1361">
        <w:rPr>
          <w:rFonts w:eastAsia="Calibri"/>
        </w:rPr>
        <w:t xml:space="preserve"> de revocación propuesta de toda la operación o una parte de la operación, según corresponda al incumplimiento.</w:t>
      </w:r>
    </w:p>
    <w:p w14:paraId="6C2073A0" w14:textId="05E0DF31" w:rsidR="00506FEC" w:rsidRDefault="00506FEC" w:rsidP="007C4F17">
      <w:pPr>
        <w:pStyle w:val="Heading3"/>
      </w:pPr>
      <w:r>
        <w:t>Suspensi</w:t>
      </w:r>
      <w:r w:rsidR="003566A7">
        <w:t>ón o Revocación – NOP</w:t>
      </w:r>
    </w:p>
    <w:p w14:paraId="1C6D009C" w14:textId="031B391C" w:rsidR="00506FEC" w:rsidRPr="00D66D8A" w:rsidRDefault="00F26DE0" w:rsidP="00337BBD">
      <w:pPr>
        <w:rPr>
          <w:rFonts w:eastAsia="Calibri"/>
          <w:lang w:val="es-ES"/>
        </w:rPr>
      </w:pPr>
      <w:r w:rsidRPr="00F26DE0">
        <w:rPr>
          <w:rFonts w:eastAsia="Calibri"/>
          <w:lang w:val="es-ES"/>
        </w:rPr>
        <w:t xml:space="preserve">Si el cliente no logra llegar a un acuerdo a través de la mediación; no presenta una apelación de la suspensión o revocación de certificación propuesta en el plazo permitido; o si se rechaza una apelación, QCS envía al cliente una notificación final por escrito de suspensión o revocación basada en el aviso de acción adversa propuesta. QCS debe </w:t>
      </w:r>
      <w:r w:rsidR="009A1BAA" w:rsidRPr="009A1BAA">
        <w:rPr>
          <w:rFonts w:eastAsia="Calibri"/>
          <w:lang w:val="es-ES"/>
        </w:rPr>
        <w:t>actualizar el estado de certificación de la operación en la Base de Datos de Integridad Orgánica dentro de los 3 días hábiles siguientes a la emisión de la notificación de suspensión o revocación</w:t>
      </w:r>
      <w:r w:rsidR="009A1BAA">
        <w:rPr>
          <w:rStyle w:val="FootnoteReference"/>
          <w:rFonts w:eastAsia="Calibri"/>
          <w:lang w:val="es-ES"/>
        </w:rPr>
        <w:footnoteReference w:id="25"/>
      </w:r>
      <w:r w:rsidR="009A1BAA">
        <w:rPr>
          <w:rFonts w:eastAsia="Calibri"/>
          <w:lang w:val="es-ES"/>
        </w:rPr>
        <w:t xml:space="preserve">. </w:t>
      </w:r>
    </w:p>
    <w:p w14:paraId="7720C950" w14:textId="4A66093C" w:rsidR="00CF204E" w:rsidRPr="00125F8D" w:rsidRDefault="227E1361" w:rsidP="007C4F17">
      <w:pPr>
        <w:pStyle w:val="Heading3"/>
        <w:rPr>
          <w:lang w:val="es-ES"/>
        </w:rPr>
      </w:pPr>
      <w:r w:rsidRPr="227E1361">
        <w:t>Suspensión</w:t>
      </w:r>
      <w:r w:rsidR="0011423B">
        <w:t xml:space="preserve"> –</w:t>
      </w:r>
      <w:r w:rsidR="007965DD">
        <w:t xml:space="preserve"> </w:t>
      </w:r>
      <w:r w:rsidR="003566A7">
        <w:t>COR</w:t>
      </w:r>
    </w:p>
    <w:p w14:paraId="6A31029E" w14:textId="3D7132C2" w:rsidR="227E1361" w:rsidRDefault="227E1361" w:rsidP="00337BBD">
      <w:pPr>
        <w:rPr>
          <w:rFonts w:eastAsia="Calibri"/>
          <w:lang w:val="es"/>
        </w:rPr>
      </w:pPr>
      <w:r w:rsidRPr="00FE7F19">
        <w:rPr>
          <w:rFonts w:eastAsia="Calibri"/>
          <w:lang w:val="es"/>
        </w:rPr>
        <w:t xml:space="preserve">QCS emite un </w:t>
      </w:r>
      <w:r w:rsidRPr="00FE7F19">
        <w:rPr>
          <w:rFonts w:eastAsia="Calibri"/>
          <w:i/>
          <w:iCs/>
          <w:lang w:val="es"/>
        </w:rPr>
        <w:t>Aviso Escrito de Suspensión</w:t>
      </w:r>
      <w:r w:rsidRPr="00FE7F19">
        <w:rPr>
          <w:rFonts w:eastAsia="Calibri"/>
          <w:lang w:val="es"/>
        </w:rPr>
        <w:t xml:space="preserve"> a una operación certificada cuando la operación no toma la acción correctiva dentro del período de tiempo especificado en el </w:t>
      </w:r>
      <w:r w:rsidRPr="00FE7F19">
        <w:rPr>
          <w:rFonts w:eastAsia="Calibri"/>
          <w:i/>
          <w:iCs/>
          <w:lang w:val="es"/>
        </w:rPr>
        <w:t>Aviso de Incumplimiento</w:t>
      </w:r>
      <w:r w:rsidRPr="00FE7F19">
        <w:rPr>
          <w:rFonts w:eastAsia="Calibri"/>
          <w:lang w:val="es"/>
        </w:rPr>
        <w:t xml:space="preserve"> o cualquier período posterior especificado por el organismo de certificación a través de una extensión escrita cuando: el operador no cumple con el SFCR o no está en conformidad con las regulaciones de COR, las sustancias o materiales que se usan son otros que los establecidos en las regulaciones de COR, la mercancía alimentaria entra en contacto con una sustancia o material que no está establecido en las regulaciones de COR, las sustancias o materiales que se utilizan no se usan de la manera descrita en las regulaciones de COR, los métodos que se utilizan no cumplen con los requisitos o no están en conformidad con los principios generales respecto a la producción orgánica establecidos en las regulaciones de COR, en el caso de una mercancía alimentaria con múltiples ingredientes, menos del 70% de su contenido son productos orgánicos.</w:t>
      </w:r>
    </w:p>
    <w:p w14:paraId="3061CE27" w14:textId="0A16E120" w:rsidR="227E1361" w:rsidRPr="00FE7F19" w:rsidRDefault="227E1361" w:rsidP="00337BBD">
      <w:pPr>
        <w:spacing w:line="240" w:lineRule="auto"/>
        <w:rPr>
          <w:rFonts w:eastAsia="Calibri"/>
          <w:lang w:val="es"/>
        </w:rPr>
      </w:pPr>
      <w:r w:rsidRPr="00FE7F19">
        <w:rPr>
          <w:rFonts w:eastAsia="Calibri"/>
          <w:lang w:val="es"/>
        </w:rPr>
        <w:lastRenderedPageBreak/>
        <w:t xml:space="preserve">El </w:t>
      </w:r>
      <w:r w:rsidRPr="00FE7F19">
        <w:rPr>
          <w:rFonts w:eastAsia="Calibri"/>
          <w:i/>
          <w:iCs/>
          <w:lang w:val="es"/>
        </w:rPr>
        <w:t>Aviso de Suspensión</w:t>
      </w:r>
      <w:r w:rsidRPr="00FE7F19">
        <w:rPr>
          <w:rFonts w:eastAsia="Calibri"/>
          <w:lang w:val="es"/>
        </w:rPr>
        <w:t xml:space="preserve"> incluirá la razón de la suspensión, la fecha en la que surte efecto, y especificará que el operador debe tomar acción correctiva dentro de los 30 días posteriores al día en el que se suspendió la certificación para evitar la cancelación, pero que QCS levantará la suspensión de la certificación si determina que se ha tomado acción correctiva antes del final del período de suspensión.</w:t>
      </w:r>
    </w:p>
    <w:p w14:paraId="06B221A8" w14:textId="01C32A5C" w:rsidR="00230BFC" w:rsidRPr="00757DB1" w:rsidRDefault="227E1361" w:rsidP="000874C8">
      <w:pPr>
        <w:pStyle w:val="Heading3"/>
        <w:rPr>
          <w:b w:val="0"/>
          <w:lang w:val="es-ES"/>
        </w:rPr>
      </w:pPr>
      <w:r w:rsidRPr="227E1361">
        <w:t>Cancelación –</w:t>
      </w:r>
      <w:r w:rsidR="00B0788B">
        <w:t xml:space="preserve"> </w:t>
      </w:r>
      <w:r w:rsidRPr="227E1361">
        <w:t>COR</w:t>
      </w:r>
    </w:p>
    <w:p w14:paraId="0E2730DB" w14:textId="508F3D1C" w:rsidR="006B161C" w:rsidRPr="00757DB1" w:rsidRDefault="227E1361" w:rsidP="00337BBD">
      <w:pPr>
        <w:rPr>
          <w:rFonts w:eastAsia="Calibri"/>
          <w:lang w:val="es-ES"/>
        </w:rPr>
      </w:pPr>
      <w:r w:rsidRPr="227E1361">
        <w:rPr>
          <w:rFonts w:eastAsia="Calibri"/>
        </w:rPr>
        <w:t xml:space="preserve">Para una </w:t>
      </w:r>
      <w:r w:rsidRPr="227E1361">
        <w:rPr>
          <w:rFonts w:eastAsia="Calibri"/>
          <w:i/>
          <w:iCs/>
        </w:rPr>
        <w:t>Notificación de Cancelación,</w:t>
      </w:r>
      <w:r w:rsidRPr="227E1361">
        <w:rPr>
          <w:rFonts w:eastAsia="Calibri"/>
        </w:rPr>
        <w:t xml:space="preserve"> el operador debe haber solicitado voluntariamente la cancelación de la certificación por escrito o no haber respondido a las condiciones de la </w:t>
      </w:r>
      <w:r w:rsidRPr="227E1361">
        <w:rPr>
          <w:rFonts w:eastAsia="Calibri"/>
          <w:i/>
          <w:iCs/>
        </w:rPr>
        <w:t>Notificación de Suspensión</w:t>
      </w:r>
      <w:r w:rsidRPr="227E1361">
        <w:rPr>
          <w:rFonts w:eastAsia="Calibri"/>
        </w:rPr>
        <w:t xml:space="preserve">. La </w:t>
      </w:r>
      <w:r w:rsidRPr="227E1361">
        <w:rPr>
          <w:rFonts w:eastAsia="Calibri"/>
          <w:i/>
          <w:iCs/>
        </w:rPr>
        <w:t>Notificación de Cancelación</w:t>
      </w:r>
      <w:r w:rsidRPr="227E1361">
        <w:rPr>
          <w:rFonts w:eastAsia="Calibri"/>
        </w:rPr>
        <w:t xml:space="preserve"> debe incluir lo siguiente:</w:t>
      </w:r>
    </w:p>
    <w:p w14:paraId="1F9CC629" w14:textId="56857E48" w:rsidR="00757DB1" w:rsidRPr="00757DB1" w:rsidRDefault="227E1361" w:rsidP="002735CF">
      <w:pPr>
        <w:pStyle w:val="ListParagraph"/>
        <w:numPr>
          <w:ilvl w:val="0"/>
          <w:numId w:val="37"/>
        </w:numPr>
        <w:ind w:left="360"/>
        <w:rPr>
          <w:rFonts w:eastAsia="Calibri"/>
          <w:lang w:val="es-ES"/>
        </w:rPr>
      </w:pPr>
      <w:r w:rsidRPr="227E1361">
        <w:rPr>
          <w:rFonts w:eastAsia="Calibri"/>
        </w:rPr>
        <w:t>Los motivos de la cancelación;</w:t>
      </w:r>
    </w:p>
    <w:p w14:paraId="5C6AD953" w14:textId="1EAE32EA" w:rsidR="00757DB1" w:rsidRPr="00757DB1" w:rsidRDefault="227E1361" w:rsidP="002735CF">
      <w:pPr>
        <w:pStyle w:val="ListParagraph"/>
        <w:numPr>
          <w:ilvl w:val="0"/>
          <w:numId w:val="37"/>
        </w:numPr>
        <w:ind w:left="360"/>
        <w:rPr>
          <w:rFonts w:eastAsia="Calibri"/>
          <w:lang w:val="es-ES"/>
        </w:rPr>
      </w:pPr>
      <w:r w:rsidRPr="227E1361">
        <w:rPr>
          <w:rFonts w:eastAsia="Calibri"/>
        </w:rPr>
        <w:t>La fecha efectiva propuesta de cancelación;</w:t>
      </w:r>
    </w:p>
    <w:p w14:paraId="0A203B78" w14:textId="60EFE625" w:rsidR="00757DB1" w:rsidRPr="00757DB1" w:rsidRDefault="227E1361" w:rsidP="002735CF">
      <w:pPr>
        <w:pStyle w:val="ListParagraph"/>
        <w:numPr>
          <w:ilvl w:val="0"/>
          <w:numId w:val="37"/>
        </w:numPr>
        <w:ind w:left="360"/>
        <w:rPr>
          <w:rFonts w:eastAsia="Calibri"/>
          <w:lang w:val="es-ES"/>
        </w:rPr>
      </w:pPr>
      <w:r w:rsidRPr="227E1361">
        <w:rPr>
          <w:rFonts w:eastAsia="Calibri"/>
        </w:rPr>
        <w:t>El impacto de una cancelación en la elegibilidad futura para la certificación;</w:t>
      </w:r>
    </w:p>
    <w:p w14:paraId="15C487FD" w14:textId="477B98FA" w:rsidR="006B161C" w:rsidRPr="00757DB1" w:rsidRDefault="227E1361" w:rsidP="002735CF">
      <w:pPr>
        <w:pStyle w:val="ListParagraph"/>
        <w:numPr>
          <w:ilvl w:val="0"/>
          <w:numId w:val="37"/>
        </w:numPr>
        <w:ind w:left="360"/>
        <w:rPr>
          <w:rFonts w:eastAsia="Calibri"/>
          <w:lang w:val="es-ES"/>
        </w:rPr>
      </w:pPr>
      <w:r w:rsidRPr="227E1361">
        <w:rPr>
          <w:rFonts w:eastAsia="Calibri"/>
        </w:rPr>
        <w:t xml:space="preserve">El derecho a presentar una apelación. </w:t>
      </w:r>
    </w:p>
    <w:p w14:paraId="22168498" w14:textId="28D9D005" w:rsidR="00963020" w:rsidRPr="00757DB1" w:rsidRDefault="227E1361" w:rsidP="00337BBD">
      <w:pPr>
        <w:rPr>
          <w:rFonts w:eastAsia="Calibri"/>
          <w:lang w:val="es-ES"/>
        </w:rPr>
      </w:pPr>
      <w:r w:rsidRPr="227E1361">
        <w:rPr>
          <w:rFonts w:eastAsia="Calibri"/>
        </w:rPr>
        <w:t xml:space="preserve">QCS debe informar simultáneamente a las autoridades reguladoras, CAEQ y CFIA sobre la notificación de cancelación. </w:t>
      </w:r>
    </w:p>
    <w:p w14:paraId="56D88495" w14:textId="2716B0AA" w:rsidR="006D5397" w:rsidRPr="007105A1" w:rsidRDefault="227E1361" w:rsidP="00337BBD">
      <w:pPr>
        <w:rPr>
          <w:rFonts w:eastAsia="Calibri"/>
          <w:lang w:val="es-ES"/>
        </w:rPr>
      </w:pPr>
      <w:r w:rsidRPr="227E1361">
        <w:rPr>
          <w:rFonts w:eastAsia="Calibri"/>
        </w:rPr>
        <w:t xml:space="preserve">En el momento de la cancelación, una operación no puede hacer ninguna afirmación de certificación orgánica, debe destruir el uso del logotipo y el nombre de QCS, destruir o devolver </w:t>
      </w:r>
      <w:r w:rsidR="00B45BC0" w:rsidRPr="227E1361">
        <w:rPr>
          <w:rFonts w:eastAsia="Calibri"/>
        </w:rPr>
        <w:t>todas las atestaciones</w:t>
      </w:r>
      <w:r w:rsidR="006C2A82">
        <w:rPr>
          <w:rFonts w:eastAsia="Calibri"/>
        </w:rPr>
        <w:t xml:space="preserve"> de cumplimiento</w:t>
      </w:r>
      <w:r w:rsidRPr="227E1361">
        <w:rPr>
          <w:rFonts w:eastAsia="Calibri"/>
        </w:rPr>
        <w:t xml:space="preserve">, etiquetado y materiales de mercadeo que contengan referencias a QCS o COR y que puedan causar algún perjuicio a QCS y las operaciones son responsables del costo de los servicios hasta el punto de cancelación. </w:t>
      </w:r>
    </w:p>
    <w:p w14:paraId="5A8F1625" w14:textId="358CD564" w:rsidR="227E1361" w:rsidRDefault="227E1361" w:rsidP="000874C8">
      <w:pPr>
        <w:pStyle w:val="Heading3"/>
        <w:rPr>
          <w:b w:val="0"/>
          <w:lang w:val="es"/>
        </w:rPr>
      </w:pPr>
      <w:r w:rsidRPr="227E1361">
        <w:t xml:space="preserve">Retiro de </w:t>
      </w:r>
      <w:r w:rsidRPr="002452E5">
        <w:t>Certificación</w:t>
      </w:r>
      <w:r w:rsidR="006D119E" w:rsidRPr="007C4F17">
        <w:t xml:space="preserve"> – </w:t>
      </w:r>
      <w:r w:rsidR="00E2232E" w:rsidRPr="007C4F17">
        <w:rPr>
          <w:lang w:val="es"/>
        </w:rPr>
        <w:t>Regenerative Organic Certified</w:t>
      </w:r>
      <w:r w:rsidRPr="002452E5">
        <w:rPr>
          <w:lang w:val="es"/>
        </w:rPr>
        <w:t>®</w:t>
      </w:r>
    </w:p>
    <w:p w14:paraId="7AA5B67E" w14:textId="54D93573" w:rsidR="006D5397" w:rsidRPr="00CB1723" w:rsidRDefault="227E1361" w:rsidP="00337BBD">
      <w:pPr>
        <w:spacing w:line="240" w:lineRule="auto"/>
        <w:jc w:val="left"/>
        <w:rPr>
          <w:rFonts w:eastAsia="Calibri"/>
        </w:rPr>
      </w:pPr>
      <w:r w:rsidRPr="227E1361">
        <w:rPr>
          <w:rFonts w:eastAsia="Calibri"/>
        </w:rPr>
        <w:t>QCS retira la certificació</w:t>
      </w:r>
      <w:r w:rsidRPr="00FE7F19">
        <w:t xml:space="preserve">n de </w:t>
      </w:r>
      <w:r w:rsidR="00E2232E">
        <w:t>Regenerative Organic Certified</w:t>
      </w:r>
      <w:r w:rsidRPr="00FE7F19">
        <w:t>®</w:t>
      </w:r>
      <w:r w:rsidRPr="227E1361">
        <w:t xml:space="preserve"> </w:t>
      </w:r>
      <w:r w:rsidR="00161AE2" w:rsidRPr="227E1361">
        <w:rPr>
          <w:rFonts w:eastAsia="Calibri"/>
        </w:rPr>
        <w:t>basándose</w:t>
      </w:r>
      <w:r w:rsidRPr="227E1361">
        <w:rPr>
          <w:rFonts w:eastAsia="Calibri"/>
        </w:rPr>
        <w:t xml:space="preserve"> en una o más de las siguientes condiciones:</w:t>
      </w:r>
    </w:p>
    <w:p w14:paraId="6349219E" w14:textId="4B9FB999" w:rsidR="00CB1723" w:rsidRPr="00CB1723" w:rsidRDefault="227E1361" w:rsidP="002735CF">
      <w:pPr>
        <w:pStyle w:val="ListParagraph"/>
        <w:numPr>
          <w:ilvl w:val="0"/>
          <w:numId w:val="21"/>
        </w:numPr>
        <w:ind w:left="360"/>
        <w:rPr>
          <w:rFonts w:eastAsia="Calibri"/>
          <w:lang w:val="es-ES"/>
        </w:rPr>
      </w:pPr>
      <w:r w:rsidRPr="227E1361">
        <w:rPr>
          <w:rFonts w:eastAsia="Calibri"/>
        </w:rPr>
        <w:t>No se mantienen los requisitos estándar o equivalentes.</w:t>
      </w:r>
    </w:p>
    <w:p w14:paraId="079B878A" w14:textId="1A334671" w:rsidR="00CB1723" w:rsidRPr="00CB1723" w:rsidRDefault="227E1361" w:rsidP="002735CF">
      <w:pPr>
        <w:pStyle w:val="ListParagraph"/>
        <w:numPr>
          <w:ilvl w:val="0"/>
          <w:numId w:val="21"/>
        </w:numPr>
        <w:ind w:left="360"/>
        <w:rPr>
          <w:rFonts w:eastAsia="Calibri"/>
          <w:lang w:val="es-ES"/>
        </w:rPr>
      </w:pPr>
      <w:r w:rsidRPr="227E1361">
        <w:rPr>
          <w:rFonts w:eastAsia="Calibri"/>
        </w:rPr>
        <w:t>La cooperación y el acceso a la documentación, las instalaciones y el personal no se proporcionan a los auditores durante las auditorías in situ.</w:t>
      </w:r>
    </w:p>
    <w:p w14:paraId="74AB6424" w14:textId="056D33DA" w:rsidR="00CB1723" w:rsidRPr="00CB1723" w:rsidRDefault="227E1361" w:rsidP="002735CF">
      <w:pPr>
        <w:pStyle w:val="ListParagraph"/>
        <w:numPr>
          <w:ilvl w:val="0"/>
          <w:numId w:val="21"/>
        </w:numPr>
        <w:ind w:left="360"/>
        <w:rPr>
          <w:rFonts w:eastAsia="Calibri"/>
          <w:lang w:val="es-ES"/>
        </w:rPr>
      </w:pPr>
      <w:r w:rsidRPr="227E1361">
        <w:rPr>
          <w:rFonts w:eastAsia="Calibri"/>
        </w:rPr>
        <w:t>El cliente no permite que se realice una auditoría</w:t>
      </w:r>
    </w:p>
    <w:p w14:paraId="6E2D9CF4" w14:textId="739C28E5" w:rsidR="00CB1723" w:rsidRPr="00CB1723" w:rsidRDefault="227E1361" w:rsidP="002735CF">
      <w:pPr>
        <w:pStyle w:val="ListParagraph"/>
        <w:numPr>
          <w:ilvl w:val="0"/>
          <w:numId w:val="21"/>
        </w:numPr>
        <w:ind w:left="360"/>
        <w:rPr>
          <w:rFonts w:eastAsia="Calibri"/>
          <w:lang w:val="es-ES"/>
        </w:rPr>
      </w:pPr>
      <w:r w:rsidRPr="227E1361">
        <w:rPr>
          <w:rFonts w:eastAsia="Calibri"/>
        </w:rPr>
        <w:t xml:space="preserve">El cliente utiliza el certificado de </w:t>
      </w:r>
      <w:r w:rsidR="00E2232E">
        <w:rPr>
          <w:rFonts w:eastAsia="Calibri"/>
        </w:rPr>
        <w:t>Regenerative Organic Certified</w:t>
      </w:r>
      <w:r w:rsidRPr="227E1361">
        <w:rPr>
          <w:rFonts w:ascii="Calibri" w:eastAsia="Calibri" w:hAnsi="Calibri" w:cs="Calibri"/>
        </w:rPr>
        <w:t xml:space="preserve">® </w:t>
      </w:r>
      <w:r w:rsidRPr="227E1361">
        <w:rPr>
          <w:rFonts w:eastAsia="Calibri"/>
        </w:rPr>
        <w:t>en formas que entran en conflicto con los términos y condiciones de uso.</w:t>
      </w:r>
    </w:p>
    <w:p w14:paraId="66EB41C9" w14:textId="6E04FC6B" w:rsidR="00CB1723" w:rsidRPr="00CB1723" w:rsidRDefault="227E1361" w:rsidP="002735CF">
      <w:pPr>
        <w:pStyle w:val="ListParagraph"/>
        <w:numPr>
          <w:ilvl w:val="0"/>
          <w:numId w:val="21"/>
        </w:numPr>
        <w:ind w:left="360"/>
        <w:rPr>
          <w:rFonts w:eastAsia="Calibri"/>
          <w:lang w:val="es-ES"/>
        </w:rPr>
      </w:pPr>
      <w:r w:rsidRPr="227E1361">
        <w:rPr>
          <w:rFonts w:eastAsia="Calibri"/>
        </w:rPr>
        <w:t>Clientes voluntarios para retirarse o las circunstancias justifican la suspensión temporal</w:t>
      </w:r>
    </w:p>
    <w:p w14:paraId="6A47B3AE" w14:textId="55AEA541" w:rsidR="00CB1723" w:rsidRPr="00CB1723" w:rsidRDefault="227E1361" w:rsidP="002735CF">
      <w:pPr>
        <w:pStyle w:val="ListParagraph"/>
        <w:numPr>
          <w:ilvl w:val="0"/>
          <w:numId w:val="21"/>
        </w:numPr>
        <w:ind w:left="360"/>
        <w:rPr>
          <w:rFonts w:eastAsia="Calibri"/>
        </w:rPr>
      </w:pPr>
      <w:r w:rsidRPr="227E1361">
        <w:rPr>
          <w:rFonts w:eastAsia="Calibri"/>
        </w:rPr>
        <w:t>El certificado expira</w:t>
      </w:r>
    </w:p>
    <w:p w14:paraId="300B7FAA" w14:textId="64093C64" w:rsidR="006D5397" w:rsidRPr="00CB1723" w:rsidRDefault="00CB1723" w:rsidP="002735CF">
      <w:pPr>
        <w:pStyle w:val="ListParagraph"/>
        <w:numPr>
          <w:ilvl w:val="0"/>
          <w:numId w:val="21"/>
        </w:numPr>
        <w:ind w:left="360"/>
        <w:rPr>
          <w:rFonts w:eastAsia="Calibri"/>
          <w:lang w:val="es-ES"/>
        </w:rPr>
      </w:pPr>
      <w:r w:rsidRPr="00CB1723">
        <w:rPr>
          <w:rFonts w:eastAsia="Calibri"/>
          <w:lang w:val="es-ES"/>
        </w:rPr>
        <w:t xml:space="preserve">Otros asuntos o circunstancias que surjan y que, en opinión exclusiva del </w:t>
      </w:r>
      <w:r w:rsidRPr="00AD3CEE">
        <w:rPr>
          <w:rFonts w:eastAsia="Calibri"/>
          <w:lang w:val="es-ES"/>
        </w:rPr>
        <w:t>ROA</w:t>
      </w:r>
      <w:r w:rsidR="00AD3CEE">
        <w:rPr>
          <w:rFonts w:eastAsia="Calibri"/>
          <w:lang w:val="es-ES"/>
        </w:rPr>
        <w:t xml:space="preserve"> (</w:t>
      </w:r>
      <w:r w:rsidR="00AD3CEE" w:rsidRPr="00AD3CEE">
        <w:rPr>
          <w:rFonts w:ascii="Calibri" w:hAnsi="Calibri" w:cs="Calibri"/>
          <w:color w:val="212121"/>
          <w:shd w:val="clear" w:color="auto" w:fill="FFFFFF"/>
          <w:lang w:val="es-ES"/>
        </w:rPr>
        <w:t>Regenerative Organic Alliance)</w:t>
      </w:r>
      <w:r w:rsidRPr="00CB1723">
        <w:rPr>
          <w:rFonts w:eastAsia="Calibri"/>
          <w:lang w:val="es-ES"/>
        </w:rPr>
        <w:t>, comprometan de alguna manera la integridad o la reputación del</w:t>
      </w:r>
      <w:r w:rsidR="00C2598D">
        <w:rPr>
          <w:rFonts w:eastAsia="Calibri"/>
          <w:lang w:val="es-ES"/>
        </w:rPr>
        <w:t xml:space="preserve"> </w:t>
      </w:r>
      <w:r w:rsidR="00E2232E">
        <w:rPr>
          <w:rFonts w:eastAsia="Calibri"/>
        </w:rPr>
        <w:t>Regenerative Organic Certified</w:t>
      </w:r>
      <w:r w:rsidR="227E1361" w:rsidRPr="227E1361">
        <w:rPr>
          <w:rFonts w:ascii="Calibri" w:eastAsia="Calibri" w:hAnsi="Calibri" w:cs="Calibri"/>
        </w:rPr>
        <w:t>®</w:t>
      </w:r>
    </w:p>
    <w:p w14:paraId="4E5AE9B5" w14:textId="13D4E76B" w:rsidR="006D5397" w:rsidRDefault="227E1361" w:rsidP="00337BBD">
      <w:pPr>
        <w:rPr>
          <w:rFonts w:eastAsia="Calibri"/>
        </w:rPr>
      </w:pPr>
      <w:r w:rsidRPr="227E1361">
        <w:rPr>
          <w:rFonts w:eastAsia="Calibri"/>
        </w:rPr>
        <w:t xml:space="preserve">Si el operador no cumple con alguna de las condiciones anteriores, QCS puede retirar la decisión de certificación del operador para los pilares aplicables. Al retirar la certificación, QCS elimina al operador de la lista de operaciones certificadas y se retira su certificado. En este momento, las operaciones deben cesar todo uso de los logotipos y reclamos de </w:t>
      </w:r>
      <w:r w:rsidR="00E2232E">
        <w:rPr>
          <w:rFonts w:eastAsia="Calibri"/>
        </w:rPr>
        <w:t>Regenerative Organic Certified</w:t>
      </w:r>
      <w:r w:rsidRPr="227E1361">
        <w:rPr>
          <w:rFonts w:ascii="Calibri" w:eastAsia="Calibri" w:hAnsi="Calibri" w:cs="Calibri"/>
        </w:rPr>
        <w:t>®</w:t>
      </w:r>
      <w:r w:rsidRPr="227E1361">
        <w:rPr>
          <w:rFonts w:eastAsia="Calibri"/>
        </w:rPr>
        <w:t>.</w:t>
      </w:r>
      <w:r w:rsidR="002452E5">
        <w:rPr>
          <w:rFonts w:eastAsia="Calibri"/>
        </w:rPr>
        <w:t xml:space="preserve"> </w:t>
      </w:r>
    </w:p>
    <w:p w14:paraId="47363AA6" w14:textId="177FE627" w:rsidR="002452E5" w:rsidRDefault="00110A71" w:rsidP="007C4F17">
      <w:pPr>
        <w:pStyle w:val="Heading3"/>
        <w:rPr>
          <w:lang w:val="es-ES"/>
        </w:rPr>
      </w:pPr>
      <w:r>
        <w:rPr>
          <w:lang w:val="es-ES"/>
        </w:rPr>
        <w:t>Violación intencional - NOP</w:t>
      </w:r>
    </w:p>
    <w:p w14:paraId="16E02423" w14:textId="3F08C502" w:rsidR="00110A71" w:rsidRPr="006269CF" w:rsidRDefault="0042678B" w:rsidP="00337BBD">
      <w:pPr>
        <w:rPr>
          <w:rFonts w:eastAsia="Calibri"/>
          <w:lang w:val="es-ES"/>
        </w:rPr>
      </w:pPr>
      <w:r w:rsidRPr="0042678B">
        <w:rPr>
          <w:rFonts w:eastAsia="Calibri"/>
          <w:lang w:val="es-ES"/>
        </w:rPr>
        <w:t xml:space="preserve">Además de la suspensión o revocación, cualquier cliente </w:t>
      </w:r>
      <w:r w:rsidR="00EA22E6">
        <w:rPr>
          <w:rFonts w:eastAsia="Calibri"/>
          <w:lang w:val="es-ES"/>
        </w:rPr>
        <w:t xml:space="preserve">o persona </w:t>
      </w:r>
      <w:r w:rsidR="00AC2B28">
        <w:rPr>
          <w:rFonts w:eastAsia="Calibri"/>
          <w:lang w:val="es-ES"/>
        </w:rPr>
        <w:t xml:space="preserve">conectada responsablemente a la operación, </w:t>
      </w:r>
      <w:r w:rsidRPr="0042678B">
        <w:rPr>
          <w:rFonts w:eastAsia="Calibri"/>
          <w:lang w:val="es-ES"/>
        </w:rPr>
        <w:t xml:space="preserve">que a sabiendas venda o etiquete un producto como orgánico, excepto de conformidad con el </w:t>
      </w:r>
      <w:r w:rsidRPr="0042678B">
        <w:rPr>
          <w:rFonts w:eastAsia="Calibri"/>
          <w:lang w:val="es-ES"/>
        </w:rPr>
        <w:lastRenderedPageBreak/>
        <w:t xml:space="preserve">NOP, estará sujeto a una sanción civil de no más de $10,000 por infracción. Los clientes </w:t>
      </w:r>
      <w:r w:rsidR="00F936FB">
        <w:rPr>
          <w:rFonts w:eastAsia="Calibri"/>
          <w:lang w:val="es-ES"/>
        </w:rPr>
        <w:t>o las personas conectadas responsablemente a la operación,</w:t>
      </w:r>
      <w:r w:rsidR="00F936FB" w:rsidRPr="0042678B">
        <w:rPr>
          <w:rFonts w:eastAsia="Calibri"/>
          <w:lang w:val="es-ES"/>
        </w:rPr>
        <w:t xml:space="preserve"> </w:t>
      </w:r>
      <w:r w:rsidRPr="0042678B">
        <w:rPr>
          <w:rFonts w:eastAsia="Calibri"/>
          <w:lang w:val="es-ES"/>
        </w:rPr>
        <w:t xml:space="preserve">que hacen declaraciones falsas bajo el NOP al </w:t>
      </w:r>
      <w:proofErr w:type="gramStart"/>
      <w:r w:rsidRPr="0042678B">
        <w:rPr>
          <w:rFonts w:eastAsia="Calibri"/>
          <w:lang w:val="es-ES"/>
        </w:rPr>
        <w:t>Secretario</w:t>
      </w:r>
      <w:proofErr w:type="gramEnd"/>
      <w:r w:rsidRPr="0042678B">
        <w:rPr>
          <w:rFonts w:eastAsia="Calibri"/>
          <w:lang w:val="es-ES"/>
        </w:rPr>
        <w:t>, al programa orgánico estatal o al QCS están sujetos a las disposiciones de la sección 1001 del título 18 del Código de los Estados Unidos.</w:t>
      </w:r>
    </w:p>
    <w:p w14:paraId="1DD16A69" w14:textId="77777777" w:rsidR="000874C8" w:rsidRDefault="227E1361" w:rsidP="00FF1E75">
      <w:pPr>
        <w:pStyle w:val="Heading3"/>
        <w:rPr>
          <w:b w:val="0"/>
          <w:lang w:val="es"/>
        </w:rPr>
      </w:pPr>
      <w:r w:rsidRPr="00FE7F19">
        <w:rPr>
          <w:lang w:val="es"/>
        </w:rPr>
        <w:t>Catálogo de Medidas – Regulación (UE) 2018/848</w:t>
      </w:r>
    </w:p>
    <w:p w14:paraId="2717B978" w14:textId="1E539622" w:rsidR="227E1361" w:rsidRDefault="227E1361" w:rsidP="007C4F17">
      <w:pPr>
        <w:keepNext/>
        <w:jc w:val="left"/>
        <w:rPr>
          <w:rFonts w:ascii="Segoe UI" w:eastAsia="Segoe UI" w:hAnsi="Segoe UI" w:cs="Segoe UI"/>
          <w:color w:val="000000" w:themeColor="text1"/>
          <w:sz w:val="24"/>
          <w:szCs w:val="24"/>
          <w:lang w:val="es"/>
        </w:rPr>
      </w:pPr>
      <w:r w:rsidRPr="00FE7F19">
        <w:rPr>
          <w:lang w:val="es"/>
        </w:rPr>
        <w:t>Irregularidades e Infracciones para operaciones certificadas como orgánicas bajo la Regulación (UE) 2018/848</w:t>
      </w:r>
      <w:r w:rsidR="004D1AB8">
        <w:rPr>
          <w:lang w:val="es"/>
        </w:rPr>
        <w:t xml:space="preserve">. </w:t>
      </w:r>
    </w:p>
    <w:p w14:paraId="481DB1C9" w14:textId="177A30F4" w:rsidR="227E1361" w:rsidRDefault="227E1361" w:rsidP="000874C8">
      <w:pPr>
        <w:pStyle w:val="Heading4"/>
        <w:rPr>
          <w:lang w:val="es"/>
        </w:rPr>
      </w:pPr>
      <w:r w:rsidRPr="00FE7F19">
        <w:rPr>
          <w:lang w:val="es"/>
        </w:rPr>
        <w:t xml:space="preserve">Catálogo de medidas según lo especificado en la Parte A del Anexo IV </w:t>
      </w:r>
      <w:r w:rsidR="003655E2">
        <w:rPr>
          <w:lang w:val="es"/>
        </w:rPr>
        <w:t>del Reglamento (UE)</w:t>
      </w:r>
      <w:r w:rsidRPr="00FE7F19">
        <w:rPr>
          <w:lang w:val="es"/>
        </w:rPr>
        <w:t xml:space="preserve"> 2021/1698</w:t>
      </w:r>
    </w:p>
    <w:tbl>
      <w:tblPr>
        <w:tblStyle w:val="TableGrid"/>
        <w:tblW w:w="10080" w:type="dxa"/>
        <w:jc w:val="center"/>
        <w:tblLayout w:type="fixed"/>
        <w:tblLook w:val="06A0" w:firstRow="1" w:lastRow="0" w:firstColumn="1" w:lastColumn="0" w:noHBand="1" w:noVBand="1"/>
      </w:tblPr>
      <w:tblGrid>
        <w:gridCol w:w="1705"/>
        <w:gridCol w:w="3690"/>
        <w:gridCol w:w="4685"/>
      </w:tblGrid>
      <w:tr w:rsidR="006647A8" w14:paraId="62663C95" w14:textId="77777777" w:rsidTr="3053755D">
        <w:trPr>
          <w:cantSplit/>
          <w:trHeight w:val="300"/>
          <w:jc w:val="center"/>
        </w:trPr>
        <w:tc>
          <w:tcPr>
            <w:tcW w:w="1705" w:type="dxa"/>
          </w:tcPr>
          <w:p w14:paraId="0A1773B0" w14:textId="692C6396" w:rsidR="227E1361" w:rsidRDefault="227E1361" w:rsidP="009B53CA">
            <w:pPr>
              <w:keepNext/>
              <w:spacing w:before="40" w:after="40"/>
              <w:jc w:val="left"/>
              <w:rPr>
                <w:b/>
                <w:bCs/>
                <w:lang w:val="es"/>
              </w:rPr>
            </w:pPr>
            <w:r w:rsidRPr="00FE7F19">
              <w:rPr>
                <w:b/>
                <w:bCs/>
                <w:lang w:val="es"/>
              </w:rPr>
              <w:t>Categoría de Incumplimiento</w:t>
            </w:r>
          </w:p>
        </w:tc>
        <w:tc>
          <w:tcPr>
            <w:tcW w:w="3690" w:type="dxa"/>
          </w:tcPr>
          <w:p w14:paraId="7882351D" w14:textId="74C5246E" w:rsidR="227E1361" w:rsidRDefault="227E1361" w:rsidP="009B53CA">
            <w:pPr>
              <w:keepNext/>
              <w:spacing w:before="40" w:after="40"/>
              <w:jc w:val="left"/>
              <w:rPr>
                <w:b/>
                <w:bCs/>
                <w:lang w:val="es"/>
              </w:rPr>
            </w:pPr>
            <w:r w:rsidRPr="00FE7F19">
              <w:rPr>
                <w:b/>
                <w:bCs/>
                <w:lang w:val="es"/>
              </w:rPr>
              <w:t>Aplica a estas violaciones</w:t>
            </w:r>
          </w:p>
        </w:tc>
        <w:tc>
          <w:tcPr>
            <w:tcW w:w="4685" w:type="dxa"/>
          </w:tcPr>
          <w:p w14:paraId="568443B3" w14:textId="348A3DE2" w:rsidR="227E1361" w:rsidRDefault="227E1361" w:rsidP="009B53CA">
            <w:pPr>
              <w:keepNext/>
              <w:spacing w:before="40" w:after="40"/>
              <w:jc w:val="left"/>
              <w:rPr>
                <w:b/>
                <w:bCs/>
                <w:lang w:val="es"/>
              </w:rPr>
            </w:pPr>
            <w:r w:rsidRPr="00FE7F19">
              <w:rPr>
                <w:b/>
                <w:bCs/>
                <w:lang w:val="es"/>
              </w:rPr>
              <w:t xml:space="preserve">Medidas </w:t>
            </w:r>
            <w:r w:rsidR="00495D6A">
              <w:rPr>
                <w:b/>
                <w:bCs/>
                <w:lang w:val="es"/>
              </w:rPr>
              <w:br/>
            </w:r>
            <w:r w:rsidRPr="007C4F17">
              <w:rPr>
                <w:sz w:val="16"/>
                <w:szCs w:val="16"/>
                <w:lang w:val="es"/>
              </w:rPr>
              <w:t>(Acciones tomadas por el operador, o impuestas al operador por el certificador, para asegurar la integridad orgánica de los productos, procesos y tierras)</w:t>
            </w:r>
          </w:p>
        </w:tc>
      </w:tr>
      <w:tr w:rsidR="006647A8" w14:paraId="5112E3FB" w14:textId="77777777" w:rsidTr="3053755D">
        <w:trPr>
          <w:cantSplit/>
          <w:trHeight w:val="300"/>
          <w:jc w:val="center"/>
        </w:trPr>
        <w:tc>
          <w:tcPr>
            <w:tcW w:w="1705" w:type="dxa"/>
          </w:tcPr>
          <w:p w14:paraId="210AD930" w14:textId="7D83D09F" w:rsidR="227E1361" w:rsidRPr="007C4F17" w:rsidRDefault="227E1361" w:rsidP="009B53CA">
            <w:pPr>
              <w:spacing w:before="40" w:after="40"/>
              <w:rPr>
                <w:sz w:val="20"/>
                <w:szCs w:val="20"/>
                <w:lang w:val="es"/>
              </w:rPr>
            </w:pPr>
            <w:r w:rsidRPr="007C4F17">
              <w:rPr>
                <w:sz w:val="20"/>
                <w:szCs w:val="20"/>
                <w:lang w:val="es"/>
              </w:rPr>
              <w:t>Incumplimiento Menor</w:t>
            </w:r>
          </w:p>
        </w:tc>
        <w:tc>
          <w:tcPr>
            <w:tcW w:w="3690" w:type="dxa"/>
          </w:tcPr>
          <w:p w14:paraId="17C6A1C6" w14:textId="634DC8C9"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Las medidas precautorias son proporcionadas y apropiadas, y los controles que el operador ha establecido son eficientes;</w:t>
            </w:r>
          </w:p>
          <w:p w14:paraId="4CD78A95" w14:textId="0158C6F0"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incumplimiento no afecta la integridad del producto orgánico o en conversión.</w:t>
            </w:r>
          </w:p>
          <w:p w14:paraId="07DC791E" w14:textId="7793D292"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 xml:space="preserve">El sistema de trazabilidad puede localizar el(los) producto(s) afectado(s) en la cadena de suministro y la prohibición de colocar productos en el mercado con referencia a la producción orgánica es posible. </w:t>
            </w:r>
          </w:p>
          <w:p w14:paraId="60D34E46" w14:textId="36F9A275"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incumplimiento es corregible sin implementar un nuevo período de conversión.</w:t>
            </w:r>
          </w:p>
        </w:tc>
        <w:tc>
          <w:tcPr>
            <w:tcW w:w="4685" w:type="dxa"/>
          </w:tcPr>
          <w:p w14:paraId="1720E709" w14:textId="1F21F1A0" w:rsidR="227E1361" w:rsidRPr="007C4F17" w:rsidRDefault="227E1361" w:rsidP="009B53CA">
            <w:pPr>
              <w:spacing w:before="40" w:after="40"/>
              <w:jc w:val="left"/>
              <w:rPr>
                <w:sz w:val="20"/>
                <w:szCs w:val="20"/>
                <w:lang w:val="es"/>
              </w:rPr>
            </w:pPr>
            <w:r w:rsidRPr="007C4F17">
              <w:rPr>
                <w:sz w:val="20"/>
                <w:szCs w:val="20"/>
                <w:lang w:val="es"/>
              </w:rPr>
              <w:t>Acción correctiva: Mejora de la implementación de las medidas precautorias y los controles que el operador ha establecido para asegurar el cumplimiento. Presentación por parte del operador de un plan de acción dentro del límite de tiempo establecido sobre la corrección del incumplimiento requerido.</w:t>
            </w:r>
          </w:p>
        </w:tc>
      </w:tr>
      <w:tr w:rsidR="006647A8" w14:paraId="01734986" w14:textId="77777777" w:rsidTr="3053755D">
        <w:trPr>
          <w:cantSplit/>
          <w:trHeight w:val="300"/>
          <w:jc w:val="center"/>
        </w:trPr>
        <w:tc>
          <w:tcPr>
            <w:tcW w:w="1705" w:type="dxa"/>
          </w:tcPr>
          <w:p w14:paraId="13930085" w14:textId="39AB68DD" w:rsidR="227E1361" w:rsidRPr="006647A8" w:rsidRDefault="227E1361" w:rsidP="009B53CA">
            <w:pPr>
              <w:spacing w:before="40" w:after="40"/>
              <w:rPr>
                <w:lang w:val="es"/>
              </w:rPr>
            </w:pPr>
            <w:r w:rsidRPr="006647A8">
              <w:rPr>
                <w:lang w:val="es"/>
              </w:rPr>
              <w:t>Incumplimiento Mayor</w:t>
            </w:r>
          </w:p>
        </w:tc>
        <w:tc>
          <w:tcPr>
            <w:tcW w:w="3690" w:type="dxa"/>
          </w:tcPr>
          <w:p w14:paraId="7E733B6F" w14:textId="0A8BCC7A"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Las medidas precautorias no son proporcionadas y apropiadas y los controles que el operador ha establecido no son eficientes.</w:t>
            </w:r>
          </w:p>
          <w:p w14:paraId="22FE6909" w14:textId="7F985C2B"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incumplimiento afecta la integridad del producto orgánico o en conversión.</w:t>
            </w:r>
          </w:p>
          <w:p w14:paraId="78FA9C7D" w14:textId="3D907F8E"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operador no corrigió de manera oportuna un incumplimiento menor.</w:t>
            </w:r>
          </w:p>
          <w:p w14:paraId="4768D69E" w14:textId="614248CC"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sistema de trazabilidad puede localizar el(los) producto(s) afectado(s) en la cadena de suministro y la prohibición de colocar productos en el mercado con referencia a la producción orgánica es posible</w:t>
            </w:r>
          </w:p>
        </w:tc>
        <w:tc>
          <w:tcPr>
            <w:tcW w:w="4685" w:type="dxa"/>
          </w:tcPr>
          <w:p w14:paraId="5343AE14" w14:textId="53DE4C32" w:rsidR="227E1361" w:rsidRPr="007C4F17" w:rsidRDefault="227E1361" w:rsidP="007C4F17">
            <w:pPr>
              <w:pStyle w:val="ListParagraph"/>
              <w:numPr>
                <w:ilvl w:val="0"/>
                <w:numId w:val="2"/>
              </w:numPr>
              <w:spacing w:before="40" w:after="40"/>
              <w:ind w:left="288" w:hanging="288"/>
              <w:jc w:val="left"/>
              <w:rPr>
                <w:rFonts w:eastAsia="Calibri"/>
                <w:b/>
                <w:bCs/>
                <w:sz w:val="20"/>
                <w:szCs w:val="20"/>
                <w:lang w:val="es"/>
              </w:rPr>
            </w:pPr>
            <w:r w:rsidRPr="007C4F17">
              <w:rPr>
                <w:rFonts w:eastAsia="Calibri"/>
                <w:sz w:val="20"/>
                <w:szCs w:val="20"/>
                <w:lang w:val="es"/>
              </w:rPr>
              <w:t xml:space="preserve">Acción correctiva para continuar la certificación: Mejora de la implementación de las medidas precautorias y los controles que el operador ha establecido para asegurar el cumplimiento. </w:t>
            </w:r>
            <w:r w:rsidRPr="007C4F17">
              <w:rPr>
                <w:rFonts w:eastAsia="Calibri"/>
                <w:b/>
                <w:bCs/>
                <w:sz w:val="20"/>
                <w:szCs w:val="20"/>
                <w:lang w:val="es"/>
              </w:rPr>
              <w:t>Presentación por parte del operador de un plan de acción dentro del límite de tiempo establecido sobre la corrección del incumplimiento requerido.</w:t>
            </w:r>
          </w:p>
          <w:p w14:paraId="47C9B36C" w14:textId="4129A32B"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 xml:space="preserve">Degradación: No referencia a la producción orgánica en el etiquetado y publicidad de todo el lote o producción afectada (cultivo(s) o animal(es) afectado(s)) de acuerdo con el Artículo 42(1) </w:t>
            </w:r>
            <w:r w:rsidR="003655E2" w:rsidRPr="007C4F17">
              <w:rPr>
                <w:rFonts w:eastAsia="Calibri"/>
                <w:sz w:val="20"/>
                <w:szCs w:val="20"/>
                <w:lang w:val="es"/>
              </w:rPr>
              <w:t>del Reglamento (UE)</w:t>
            </w:r>
            <w:r w:rsidRPr="007C4F17">
              <w:rPr>
                <w:rFonts w:eastAsia="Calibri"/>
                <w:sz w:val="20"/>
                <w:szCs w:val="20"/>
                <w:lang w:val="es"/>
              </w:rPr>
              <w:t xml:space="preserve"> 2018/848,</w:t>
            </w:r>
          </w:p>
          <w:p w14:paraId="720C539B" w14:textId="0FB7338D"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 xml:space="preserve">Nueva Conversión: el certificador instituye un nuevo período de conversión, Limitación del alcance: retiro parcial de la certificación (es decir, cultivos, manejador, campo, producto, etc.), </w:t>
            </w:r>
          </w:p>
          <w:p w14:paraId="72A885CA" w14:textId="0A1F087C"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Denegación de certificación (nuevo solicitante)</w:t>
            </w:r>
          </w:p>
        </w:tc>
      </w:tr>
      <w:tr w:rsidR="006647A8" w14:paraId="1F3833A8" w14:textId="77777777" w:rsidTr="3053755D">
        <w:trPr>
          <w:cantSplit/>
          <w:trHeight w:val="300"/>
          <w:jc w:val="center"/>
        </w:trPr>
        <w:tc>
          <w:tcPr>
            <w:tcW w:w="1705" w:type="dxa"/>
          </w:tcPr>
          <w:p w14:paraId="38145AB4" w14:textId="0890271A" w:rsidR="227E1361" w:rsidRPr="006647A8" w:rsidRDefault="227E1361" w:rsidP="009B53CA">
            <w:pPr>
              <w:spacing w:before="40" w:after="40"/>
              <w:rPr>
                <w:lang w:val="es"/>
              </w:rPr>
            </w:pPr>
            <w:r w:rsidRPr="006647A8">
              <w:rPr>
                <w:lang w:val="es"/>
              </w:rPr>
              <w:lastRenderedPageBreak/>
              <w:t>Incumplimiento Crítico</w:t>
            </w:r>
          </w:p>
        </w:tc>
        <w:tc>
          <w:tcPr>
            <w:tcW w:w="3690" w:type="dxa"/>
          </w:tcPr>
          <w:p w14:paraId="46BCC6A4" w14:textId="227B2698"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Las medidas precautorias no son proporcionadas y apropiadas y los controles que el operador ha establecido no son eficientes.</w:t>
            </w:r>
          </w:p>
          <w:p w14:paraId="29030B1A" w14:textId="0505EA6D"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incumplimiento afecta la integridad del producto orgánico o en conversión.</w:t>
            </w:r>
          </w:p>
          <w:p w14:paraId="66D91FC8" w14:textId="4C116A81"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El operador no corrige previos incumplimientos mayores o falla repetidamente en corregir otras categorías de incumplimientos.</w:t>
            </w:r>
          </w:p>
          <w:p w14:paraId="31444141" w14:textId="750A7A01"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No hay información del sistema de trazabilidad para localizar el(los) producto(s) afectado(s) en la cadena de suministro y la prohibición de colocar productos en el mercado con referencia a la producción orgánica no es posible.</w:t>
            </w:r>
          </w:p>
        </w:tc>
        <w:tc>
          <w:tcPr>
            <w:tcW w:w="4685" w:type="dxa"/>
          </w:tcPr>
          <w:p w14:paraId="136E3588" w14:textId="77777777" w:rsidR="006647A8" w:rsidRDefault="227E1361" w:rsidP="00FF1E75">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Acción correctiva para continuar la certificación: Mejora de la implementación de las medidas precautorias y los controles que el operador ha establecido para asegurar el cumplimiento. Presentación por parte del operador de un plan de acción dentro del límite de tiempo establecido sobre la corrección del incumplimiento requerido.</w:t>
            </w:r>
          </w:p>
          <w:p w14:paraId="7B50BF2C" w14:textId="0017CFA8"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 xml:space="preserve">No referencia a la producción orgánica en el etiquetado y publicidad de todo el lote o producción afectada (cultivo(s) o animal(es) afectado(s)) de acuerdo con el Artículo 42(1) </w:t>
            </w:r>
            <w:r w:rsidR="003655E2" w:rsidRPr="007C4F17">
              <w:rPr>
                <w:rFonts w:eastAsia="Calibri"/>
                <w:sz w:val="20"/>
                <w:szCs w:val="20"/>
                <w:lang w:val="es"/>
              </w:rPr>
              <w:t>del Reglamento (UE)</w:t>
            </w:r>
            <w:r w:rsidRPr="007C4F17">
              <w:rPr>
                <w:rFonts w:eastAsia="Calibri"/>
                <w:sz w:val="20"/>
                <w:szCs w:val="20"/>
                <w:lang w:val="es"/>
              </w:rPr>
              <w:t xml:space="preserve"> 2018/848,</w:t>
            </w:r>
          </w:p>
          <w:p w14:paraId="7ABF05C5" w14:textId="7929FFFA"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 xml:space="preserve">Prohibición de comercializar productos que hagan referencia a la producción orgánica por un período determinado de acuerdo con el Artículo 42(2) </w:t>
            </w:r>
            <w:r w:rsidR="003655E2" w:rsidRPr="007C4F17">
              <w:rPr>
                <w:rFonts w:eastAsia="Calibri"/>
                <w:sz w:val="20"/>
                <w:szCs w:val="20"/>
                <w:lang w:val="es"/>
              </w:rPr>
              <w:t>del Reglamento (UE)</w:t>
            </w:r>
            <w:r w:rsidRPr="007C4F17">
              <w:rPr>
                <w:rFonts w:eastAsia="Calibri"/>
                <w:sz w:val="20"/>
                <w:szCs w:val="20"/>
                <w:lang w:val="es"/>
              </w:rPr>
              <w:t xml:space="preserve"> 2018/848,</w:t>
            </w:r>
          </w:p>
          <w:p w14:paraId="4D2FB185" w14:textId="57B2721F" w:rsidR="227E1361" w:rsidRPr="007C4F17" w:rsidRDefault="227E1361" w:rsidP="3053755D">
            <w:pPr>
              <w:pStyle w:val="ListParagraph"/>
              <w:numPr>
                <w:ilvl w:val="0"/>
                <w:numId w:val="2"/>
              </w:numPr>
              <w:spacing w:before="40" w:after="40"/>
              <w:ind w:left="288" w:hanging="288"/>
              <w:jc w:val="left"/>
              <w:rPr>
                <w:rFonts w:eastAsia="Calibri"/>
                <w:sz w:val="20"/>
                <w:szCs w:val="20"/>
                <w:lang w:val="es-ES"/>
              </w:rPr>
            </w:pPr>
            <w:r w:rsidRPr="3053755D">
              <w:rPr>
                <w:rFonts w:eastAsia="Calibri"/>
                <w:sz w:val="20"/>
                <w:szCs w:val="20"/>
                <w:lang w:val="es-ES"/>
              </w:rPr>
              <w:t>Nueva Conversión: el certificador instituye un nuevo período de conversión, Limitación del alcance: retiro parcial de la certificación (es decir, cultivos, manejador, campo, producto, etc</w:t>
            </w:r>
            <w:r w:rsidR="00161AE2" w:rsidRPr="3053755D">
              <w:rPr>
                <w:rFonts w:eastAsia="Calibri"/>
                <w:sz w:val="20"/>
                <w:szCs w:val="20"/>
                <w:lang w:val="es-ES"/>
              </w:rPr>
              <w:t>.</w:t>
            </w:r>
            <w:r w:rsidRPr="3053755D">
              <w:rPr>
                <w:rFonts w:eastAsia="Calibri"/>
                <w:sz w:val="20"/>
                <w:szCs w:val="20"/>
                <w:lang w:val="es-ES"/>
              </w:rPr>
              <w:t xml:space="preserve">), </w:t>
            </w:r>
          </w:p>
          <w:p w14:paraId="64418291" w14:textId="002ED73C"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Denegación de certificación (nuevo solicitante)</w:t>
            </w:r>
          </w:p>
          <w:p w14:paraId="56228720" w14:textId="5CA0ABEC" w:rsidR="227E1361" w:rsidRPr="007C4F17" w:rsidRDefault="227E1361" w:rsidP="007C4F17">
            <w:pPr>
              <w:pStyle w:val="ListParagraph"/>
              <w:numPr>
                <w:ilvl w:val="0"/>
                <w:numId w:val="2"/>
              </w:numPr>
              <w:spacing w:before="40" w:after="40"/>
              <w:ind w:left="288" w:hanging="288"/>
              <w:jc w:val="left"/>
              <w:rPr>
                <w:rFonts w:eastAsia="Calibri"/>
                <w:sz w:val="20"/>
                <w:szCs w:val="20"/>
                <w:lang w:val="es"/>
              </w:rPr>
            </w:pPr>
            <w:r w:rsidRPr="007C4F17">
              <w:rPr>
                <w:rFonts w:eastAsia="Calibri"/>
                <w:sz w:val="20"/>
                <w:szCs w:val="20"/>
                <w:lang w:val="es"/>
              </w:rPr>
              <w:t>Suspensión del certificado</w:t>
            </w:r>
          </w:p>
          <w:p w14:paraId="66A99A58" w14:textId="27054AE5" w:rsidR="227E1361" w:rsidRPr="007C4F17" w:rsidRDefault="227E1361" w:rsidP="007C4F17">
            <w:pPr>
              <w:pStyle w:val="ListParagraph"/>
              <w:numPr>
                <w:ilvl w:val="0"/>
                <w:numId w:val="2"/>
              </w:numPr>
              <w:spacing w:before="40" w:after="40"/>
              <w:ind w:left="288" w:hanging="288"/>
              <w:jc w:val="left"/>
              <w:rPr>
                <w:rFonts w:ascii="Segoe UI" w:eastAsia="Segoe UI" w:hAnsi="Segoe UI" w:cs="Segoe UI"/>
                <w:color w:val="000000" w:themeColor="text1"/>
                <w:sz w:val="20"/>
                <w:szCs w:val="20"/>
                <w:lang w:val="es"/>
              </w:rPr>
            </w:pPr>
            <w:r w:rsidRPr="007C4F17">
              <w:rPr>
                <w:rFonts w:eastAsia="Calibri"/>
                <w:sz w:val="20"/>
                <w:szCs w:val="20"/>
                <w:lang w:val="es"/>
              </w:rPr>
              <w:t>Retiro del certificado.</w:t>
            </w:r>
          </w:p>
        </w:tc>
      </w:tr>
    </w:tbl>
    <w:p w14:paraId="000CB725" w14:textId="321D2681" w:rsidR="006647A8" w:rsidRDefault="006647A8" w:rsidP="007C4F17">
      <w:pPr>
        <w:rPr>
          <w:lang w:val="es"/>
        </w:rPr>
      </w:pPr>
      <w:r>
        <w:rPr>
          <w:lang w:val="es"/>
        </w:rPr>
        <w:br w:type="page"/>
      </w:r>
    </w:p>
    <w:p w14:paraId="54C36EFB" w14:textId="0D136C3F" w:rsidR="227E1361" w:rsidRDefault="227E1361" w:rsidP="000874C8">
      <w:pPr>
        <w:pStyle w:val="Heading4"/>
        <w:rPr>
          <w:rFonts w:ascii="Segoe UI" w:eastAsia="Segoe UI" w:hAnsi="Segoe UI" w:cs="Segoe UI"/>
          <w:color w:val="000000" w:themeColor="text1"/>
          <w:lang w:val="es"/>
        </w:rPr>
      </w:pPr>
      <w:r w:rsidRPr="00FE7F19">
        <w:rPr>
          <w:lang w:val="es"/>
        </w:rPr>
        <w:lastRenderedPageBreak/>
        <w:t xml:space="preserve">Lista de casos de incumplimiento y la clasificación correspondiente obligatoria a incluirse en el catálogo de medidas, según lo especificado en la Parte B del Anexo IV </w:t>
      </w:r>
      <w:r w:rsidR="003655E2">
        <w:rPr>
          <w:lang w:val="es"/>
        </w:rPr>
        <w:t>del Reglamento (UE)</w:t>
      </w:r>
      <w:r w:rsidRPr="00FE7F19">
        <w:rPr>
          <w:lang w:val="es"/>
        </w:rPr>
        <w:t xml:space="preserve"> 2021/1698</w:t>
      </w:r>
    </w:p>
    <w:tbl>
      <w:tblPr>
        <w:tblStyle w:val="TableGrid"/>
        <w:tblW w:w="10080" w:type="dxa"/>
        <w:jc w:val="center"/>
        <w:tblLayout w:type="fixed"/>
        <w:tblLook w:val="06A0" w:firstRow="1" w:lastRow="0" w:firstColumn="1" w:lastColumn="0" w:noHBand="1" w:noVBand="1"/>
      </w:tblPr>
      <w:tblGrid>
        <w:gridCol w:w="8815"/>
        <w:gridCol w:w="1265"/>
      </w:tblGrid>
      <w:tr w:rsidR="227E1361" w14:paraId="1616ABF3" w14:textId="77777777" w:rsidTr="3053755D">
        <w:trPr>
          <w:cantSplit/>
          <w:trHeight w:val="300"/>
          <w:jc w:val="center"/>
        </w:trPr>
        <w:tc>
          <w:tcPr>
            <w:tcW w:w="8815" w:type="dxa"/>
          </w:tcPr>
          <w:p w14:paraId="7EAA098F" w14:textId="4F7DC704" w:rsidR="227E1361" w:rsidRPr="00FE7F19" w:rsidRDefault="227E1361" w:rsidP="008F17D3">
            <w:pPr>
              <w:keepNext/>
              <w:spacing w:before="40" w:after="40"/>
              <w:rPr>
                <w:b/>
                <w:bCs/>
                <w:lang w:val="es"/>
              </w:rPr>
            </w:pPr>
            <w:r w:rsidRPr="00FE7F19">
              <w:rPr>
                <w:b/>
                <w:bCs/>
                <w:lang w:val="es"/>
              </w:rPr>
              <w:t>Incumplimiento</w:t>
            </w:r>
          </w:p>
        </w:tc>
        <w:tc>
          <w:tcPr>
            <w:tcW w:w="1265" w:type="dxa"/>
          </w:tcPr>
          <w:p w14:paraId="4FF44418" w14:textId="1017939A" w:rsidR="227E1361" w:rsidRPr="00FE7F19" w:rsidRDefault="227E1361" w:rsidP="008F17D3">
            <w:pPr>
              <w:keepNext/>
              <w:spacing w:before="40" w:after="40"/>
              <w:rPr>
                <w:b/>
                <w:bCs/>
                <w:lang w:val="es"/>
              </w:rPr>
            </w:pPr>
            <w:r w:rsidRPr="00FE7F19">
              <w:rPr>
                <w:b/>
                <w:bCs/>
                <w:lang w:val="es"/>
              </w:rPr>
              <w:t>Categoría</w:t>
            </w:r>
          </w:p>
        </w:tc>
      </w:tr>
      <w:tr w:rsidR="227E1361" w14:paraId="68D27AEF" w14:textId="77777777" w:rsidTr="3053755D">
        <w:trPr>
          <w:cantSplit/>
          <w:trHeight w:val="300"/>
          <w:jc w:val="center"/>
        </w:trPr>
        <w:tc>
          <w:tcPr>
            <w:tcW w:w="8815" w:type="dxa"/>
          </w:tcPr>
          <w:p w14:paraId="0F34E2BE" w14:textId="2F7E2597" w:rsidR="227E1361" w:rsidRPr="00FE7F19" w:rsidRDefault="227E1361" w:rsidP="008F17D3">
            <w:pPr>
              <w:spacing w:before="40" w:after="40"/>
              <w:jc w:val="left"/>
              <w:rPr>
                <w:lang w:val="es"/>
              </w:rPr>
            </w:pPr>
            <w:r w:rsidRPr="00FE7F19">
              <w:rPr>
                <w:lang w:val="es"/>
              </w:rPr>
              <w:t>Desviación significativa entre el cálculo de entrada y salida (balance de masa)</w:t>
            </w:r>
          </w:p>
        </w:tc>
        <w:tc>
          <w:tcPr>
            <w:tcW w:w="1265" w:type="dxa"/>
          </w:tcPr>
          <w:p w14:paraId="0F2D9B54" w14:textId="2EF87D74" w:rsidR="227E1361" w:rsidRDefault="227E1361" w:rsidP="008F17D3">
            <w:pPr>
              <w:spacing w:before="40" w:after="40"/>
              <w:rPr>
                <w:lang w:val="es"/>
              </w:rPr>
            </w:pPr>
            <w:r w:rsidRPr="00FE7F19">
              <w:rPr>
                <w:lang w:val="es"/>
              </w:rPr>
              <w:t>Mayor</w:t>
            </w:r>
          </w:p>
        </w:tc>
      </w:tr>
      <w:tr w:rsidR="227E1361" w14:paraId="4825175D" w14:textId="77777777" w:rsidTr="3053755D">
        <w:trPr>
          <w:cantSplit/>
          <w:trHeight w:val="300"/>
          <w:jc w:val="center"/>
        </w:trPr>
        <w:tc>
          <w:tcPr>
            <w:tcW w:w="8815" w:type="dxa"/>
          </w:tcPr>
          <w:p w14:paraId="1F1F0111" w14:textId="3F0098BC" w:rsidR="227E1361" w:rsidRPr="00FE7F19" w:rsidRDefault="227E1361" w:rsidP="008F17D3">
            <w:pPr>
              <w:spacing w:before="40" w:after="40"/>
              <w:jc w:val="left"/>
              <w:rPr>
                <w:lang w:val="es"/>
              </w:rPr>
            </w:pPr>
            <w:r w:rsidRPr="00FE7F19">
              <w:rPr>
                <w:lang w:val="es"/>
              </w:rPr>
              <w:t>Ausencia de registros y registros financieros que muestren el cumplimiento con la Regulación (UE) 2018/848</w:t>
            </w:r>
          </w:p>
        </w:tc>
        <w:tc>
          <w:tcPr>
            <w:tcW w:w="1265" w:type="dxa"/>
          </w:tcPr>
          <w:p w14:paraId="22766E44" w14:textId="6C9ADF62" w:rsidR="227E1361" w:rsidRDefault="227E1361" w:rsidP="008F17D3">
            <w:pPr>
              <w:spacing w:before="40" w:after="40"/>
              <w:rPr>
                <w:lang w:val="es"/>
              </w:rPr>
            </w:pPr>
            <w:r w:rsidRPr="00FE7F19">
              <w:rPr>
                <w:lang w:val="es"/>
              </w:rPr>
              <w:t>Crítico</w:t>
            </w:r>
          </w:p>
        </w:tc>
      </w:tr>
      <w:tr w:rsidR="227E1361" w14:paraId="14DEF3E6" w14:textId="77777777" w:rsidTr="3053755D">
        <w:trPr>
          <w:cantSplit/>
          <w:trHeight w:val="300"/>
          <w:jc w:val="center"/>
        </w:trPr>
        <w:tc>
          <w:tcPr>
            <w:tcW w:w="8815" w:type="dxa"/>
          </w:tcPr>
          <w:p w14:paraId="0B0BA094" w14:textId="040B9C27" w:rsidR="227E1361" w:rsidRDefault="227E1361" w:rsidP="008F17D3">
            <w:pPr>
              <w:spacing w:before="40" w:after="40"/>
              <w:jc w:val="left"/>
              <w:rPr>
                <w:lang w:val="es"/>
              </w:rPr>
            </w:pPr>
            <w:r w:rsidRPr="00FE7F19">
              <w:rPr>
                <w:lang w:val="es"/>
              </w:rPr>
              <w:t>Omisión intencional de información que conduce a registros</w:t>
            </w:r>
          </w:p>
        </w:tc>
        <w:tc>
          <w:tcPr>
            <w:tcW w:w="1265" w:type="dxa"/>
          </w:tcPr>
          <w:p w14:paraId="0701DD13" w14:textId="189D285B" w:rsidR="227E1361" w:rsidRDefault="227E1361" w:rsidP="008F17D3">
            <w:pPr>
              <w:spacing w:before="40" w:after="40"/>
              <w:rPr>
                <w:lang w:val="es"/>
              </w:rPr>
            </w:pPr>
            <w:r w:rsidRPr="00FE7F19">
              <w:rPr>
                <w:lang w:val="es"/>
              </w:rPr>
              <w:t>Crítico</w:t>
            </w:r>
          </w:p>
        </w:tc>
      </w:tr>
      <w:tr w:rsidR="227E1361" w14:paraId="1DA7EC5E" w14:textId="77777777" w:rsidTr="3053755D">
        <w:trPr>
          <w:cantSplit/>
          <w:trHeight w:val="300"/>
          <w:jc w:val="center"/>
        </w:trPr>
        <w:tc>
          <w:tcPr>
            <w:tcW w:w="8815" w:type="dxa"/>
          </w:tcPr>
          <w:p w14:paraId="22734093" w14:textId="65DBA06F" w:rsidR="227E1361" w:rsidRDefault="227E1361" w:rsidP="008F17D3">
            <w:pPr>
              <w:spacing w:before="40" w:after="40"/>
              <w:jc w:val="left"/>
              <w:rPr>
                <w:lang w:val="es"/>
              </w:rPr>
            </w:pPr>
            <w:r w:rsidRPr="00FE7F19">
              <w:rPr>
                <w:lang w:val="es"/>
              </w:rPr>
              <w:t>Falsificación de documentos relacionados con la certificación de productos</w:t>
            </w:r>
          </w:p>
        </w:tc>
        <w:tc>
          <w:tcPr>
            <w:tcW w:w="1265" w:type="dxa"/>
          </w:tcPr>
          <w:p w14:paraId="1236B55B" w14:textId="684F0B16" w:rsidR="227E1361" w:rsidRDefault="227E1361" w:rsidP="008F17D3">
            <w:pPr>
              <w:spacing w:before="40" w:after="40"/>
              <w:rPr>
                <w:lang w:val="es"/>
              </w:rPr>
            </w:pPr>
            <w:r w:rsidRPr="00FE7F19">
              <w:rPr>
                <w:lang w:val="es"/>
              </w:rPr>
              <w:t>Crítico</w:t>
            </w:r>
          </w:p>
        </w:tc>
      </w:tr>
      <w:tr w:rsidR="227E1361" w14:paraId="6A63C7F4" w14:textId="77777777" w:rsidTr="3053755D">
        <w:trPr>
          <w:cantSplit/>
          <w:trHeight w:val="300"/>
          <w:jc w:val="center"/>
        </w:trPr>
        <w:tc>
          <w:tcPr>
            <w:tcW w:w="8815" w:type="dxa"/>
          </w:tcPr>
          <w:p w14:paraId="4685B952" w14:textId="082B2B98" w:rsidR="227E1361" w:rsidRDefault="227E1361" w:rsidP="3053755D">
            <w:pPr>
              <w:spacing w:before="40" w:after="40"/>
              <w:jc w:val="left"/>
              <w:rPr>
                <w:lang w:val="es-ES"/>
              </w:rPr>
            </w:pPr>
            <w:r w:rsidRPr="3053755D">
              <w:rPr>
                <w:lang w:val="es-ES"/>
              </w:rPr>
              <w:t>Reetiquetado intencional de productos degradados como</w:t>
            </w:r>
          </w:p>
        </w:tc>
        <w:tc>
          <w:tcPr>
            <w:tcW w:w="1265" w:type="dxa"/>
          </w:tcPr>
          <w:p w14:paraId="6A752A42" w14:textId="4E123F44" w:rsidR="227E1361" w:rsidRDefault="227E1361" w:rsidP="008F17D3">
            <w:pPr>
              <w:spacing w:before="40" w:after="40"/>
              <w:rPr>
                <w:lang w:val="es"/>
              </w:rPr>
            </w:pPr>
            <w:r w:rsidRPr="00FE7F19">
              <w:rPr>
                <w:lang w:val="es"/>
              </w:rPr>
              <w:t>Crítico</w:t>
            </w:r>
          </w:p>
        </w:tc>
      </w:tr>
      <w:tr w:rsidR="227E1361" w14:paraId="3B0A4448" w14:textId="77777777" w:rsidTr="3053755D">
        <w:trPr>
          <w:cantSplit/>
          <w:trHeight w:val="300"/>
          <w:jc w:val="center"/>
        </w:trPr>
        <w:tc>
          <w:tcPr>
            <w:tcW w:w="8815" w:type="dxa"/>
          </w:tcPr>
          <w:p w14:paraId="5595AD92" w14:textId="52CAE90D" w:rsidR="227E1361" w:rsidRDefault="227E1361" w:rsidP="008F17D3">
            <w:pPr>
              <w:spacing w:before="40" w:after="40"/>
              <w:jc w:val="left"/>
              <w:rPr>
                <w:lang w:val="es"/>
              </w:rPr>
            </w:pPr>
            <w:r w:rsidRPr="00FE7F19">
              <w:rPr>
                <w:lang w:val="es"/>
              </w:rPr>
              <w:t>Mezcla intencional de productos orgánicos con productos en conversión o no orgánicos</w:t>
            </w:r>
          </w:p>
        </w:tc>
        <w:tc>
          <w:tcPr>
            <w:tcW w:w="1265" w:type="dxa"/>
          </w:tcPr>
          <w:p w14:paraId="3E1074AB" w14:textId="264BCD07" w:rsidR="227E1361" w:rsidRDefault="227E1361" w:rsidP="008F17D3">
            <w:pPr>
              <w:spacing w:before="40" w:after="40"/>
              <w:rPr>
                <w:lang w:val="es"/>
              </w:rPr>
            </w:pPr>
            <w:r w:rsidRPr="00FE7F19">
              <w:rPr>
                <w:lang w:val="es"/>
              </w:rPr>
              <w:t>Crítico</w:t>
            </w:r>
          </w:p>
        </w:tc>
      </w:tr>
      <w:tr w:rsidR="227E1361" w14:paraId="5DC3A50A" w14:textId="77777777" w:rsidTr="3053755D">
        <w:trPr>
          <w:cantSplit/>
          <w:trHeight w:val="300"/>
          <w:jc w:val="center"/>
        </w:trPr>
        <w:tc>
          <w:tcPr>
            <w:tcW w:w="8815" w:type="dxa"/>
          </w:tcPr>
          <w:p w14:paraId="04EC1D68" w14:textId="4493000D" w:rsidR="227E1361" w:rsidRDefault="227E1361" w:rsidP="008F17D3">
            <w:pPr>
              <w:spacing w:before="40" w:after="40"/>
              <w:jc w:val="left"/>
              <w:rPr>
                <w:lang w:val="es"/>
              </w:rPr>
            </w:pPr>
            <w:r w:rsidRPr="00FE7F19">
              <w:rPr>
                <w:lang w:val="es"/>
              </w:rPr>
              <w:t xml:space="preserve">Uso intencional de sustancias o productos no autorizados dentro del ámbito </w:t>
            </w:r>
            <w:r w:rsidR="003655E2">
              <w:rPr>
                <w:lang w:val="es"/>
              </w:rPr>
              <w:t>del Reglamento (UE)</w:t>
            </w:r>
            <w:r w:rsidRPr="00FE7F19">
              <w:rPr>
                <w:lang w:val="es"/>
              </w:rPr>
              <w:t xml:space="preserve"> 2018/848</w:t>
            </w:r>
          </w:p>
        </w:tc>
        <w:tc>
          <w:tcPr>
            <w:tcW w:w="1265" w:type="dxa"/>
          </w:tcPr>
          <w:p w14:paraId="5F0E917E" w14:textId="08D9923B" w:rsidR="227E1361" w:rsidRDefault="227E1361" w:rsidP="008F17D3">
            <w:pPr>
              <w:spacing w:before="40" w:after="40"/>
              <w:rPr>
                <w:lang w:val="es"/>
              </w:rPr>
            </w:pPr>
            <w:r w:rsidRPr="00FE7F19">
              <w:rPr>
                <w:lang w:val="es"/>
              </w:rPr>
              <w:t>Crítico</w:t>
            </w:r>
          </w:p>
        </w:tc>
      </w:tr>
      <w:tr w:rsidR="227E1361" w14:paraId="66DD3185" w14:textId="77777777" w:rsidTr="3053755D">
        <w:trPr>
          <w:cantSplit/>
          <w:trHeight w:val="300"/>
          <w:jc w:val="center"/>
        </w:trPr>
        <w:tc>
          <w:tcPr>
            <w:tcW w:w="8815" w:type="dxa"/>
          </w:tcPr>
          <w:p w14:paraId="64225544" w14:textId="58493527" w:rsidR="227E1361" w:rsidRPr="00FE7F19" w:rsidRDefault="227E1361" w:rsidP="3053755D">
            <w:pPr>
              <w:spacing w:before="40" w:after="40"/>
              <w:jc w:val="left"/>
              <w:rPr>
                <w:lang w:val="es-ES"/>
              </w:rPr>
            </w:pPr>
            <w:r w:rsidRPr="3053755D">
              <w:rPr>
                <w:lang w:val="es-ES"/>
              </w:rPr>
              <w:t>Uso intencional de OMGs</w:t>
            </w:r>
          </w:p>
        </w:tc>
        <w:tc>
          <w:tcPr>
            <w:tcW w:w="1265" w:type="dxa"/>
          </w:tcPr>
          <w:p w14:paraId="355BBF41" w14:textId="63F87B97" w:rsidR="227E1361" w:rsidRDefault="227E1361" w:rsidP="008F17D3">
            <w:pPr>
              <w:spacing w:before="40" w:after="40"/>
              <w:rPr>
                <w:lang w:val="es"/>
              </w:rPr>
            </w:pPr>
            <w:r w:rsidRPr="00FE7F19">
              <w:rPr>
                <w:lang w:val="es"/>
              </w:rPr>
              <w:t>Crítico</w:t>
            </w:r>
          </w:p>
        </w:tc>
      </w:tr>
      <w:tr w:rsidR="227E1361" w14:paraId="6CAEDA7D" w14:textId="77777777" w:rsidTr="3053755D">
        <w:trPr>
          <w:cantSplit/>
          <w:trHeight w:val="300"/>
          <w:jc w:val="center"/>
        </w:trPr>
        <w:tc>
          <w:tcPr>
            <w:tcW w:w="8815" w:type="dxa"/>
          </w:tcPr>
          <w:p w14:paraId="2E44ED2F" w14:textId="29C89C75" w:rsidR="227E1361" w:rsidRPr="00FE7F19" w:rsidRDefault="227E1361" w:rsidP="008F17D3">
            <w:pPr>
              <w:spacing w:before="40" w:after="40"/>
              <w:jc w:val="left"/>
              <w:rPr>
                <w:lang w:val="es"/>
              </w:rPr>
            </w:pPr>
            <w:r w:rsidRPr="00FE7F19">
              <w:rPr>
                <w:lang w:val="es"/>
              </w:rPr>
              <w:t>El operador niega a la autoridad de control o al organismo de control el acceso a las instalaciones sujetas a controles, o a sus registros contables, incluidos los registros financieros, o se niega a permitir que la autoridad de control o el organismo de control tome muestras</w:t>
            </w:r>
          </w:p>
        </w:tc>
        <w:tc>
          <w:tcPr>
            <w:tcW w:w="1265" w:type="dxa"/>
          </w:tcPr>
          <w:p w14:paraId="16D73DDC" w14:textId="0E699805" w:rsidR="227E1361" w:rsidRDefault="227E1361" w:rsidP="008F17D3">
            <w:pPr>
              <w:spacing w:before="40" w:after="40"/>
              <w:rPr>
                <w:lang w:val="es"/>
              </w:rPr>
            </w:pPr>
            <w:r w:rsidRPr="227E1361">
              <w:rPr>
                <w:lang w:val="es"/>
              </w:rPr>
              <w:t>Crítico</w:t>
            </w:r>
          </w:p>
        </w:tc>
      </w:tr>
    </w:tbl>
    <w:p w14:paraId="141C728E" w14:textId="77777777" w:rsidR="000874C8" w:rsidRDefault="000874C8" w:rsidP="008F17D3">
      <w:pPr>
        <w:spacing w:before="240"/>
        <w:rPr>
          <w:rFonts w:eastAsia="Calibri"/>
          <w:b/>
          <w:bCs/>
        </w:rPr>
      </w:pPr>
      <w:r>
        <w:rPr>
          <w:rFonts w:eastAsia="Calibri"/>
          <w:b/>
          <w:bCs/>
        </w:rPr>
        <w:br w:type="page"/>
      </w:r>
    </w:p>
    <w:p w14:paraId="63138698" w14:textId="77777777" w:rsidR="001F6E20" w:rsidRPr="00EE05AC" w:rsidRDefault="001F6E20" w:rsidP="007C4F17">
      <w:pPr>
        <w:pStyle w:val="Heading2"/>
        <w:jc w:val="left"/>
        <w:rPr>
          <w:rFonts w:eastAsia="Calibri"/>
          <w:lang w:val="es-ES"/>
        </w:rPr>
      </w:pPr>
      <w:r w:rsidRPr="227E1361">
        <w:rPr>
          <w:rFonts w:eastAsia="Calibri"/>
        </w:rPr>
        <w:lastRenderedPageBreak/>
        <w:t>Descripción general del proceso de certificación QCS</w:t>
      </w:r>
    </w:p>
    <w:p w14:paraId="7F1F709F" w14:textId="77777777" w:rsidR="001F6E20" w:rsidRPr="00EE05AC" w:rsidRDefault="001F6E20" w:rsidP="001F6E20">
      <w:pPr>
        <w:jc w:val="center"/>
        <w:rPr>
          <w:rFonts w:eastAsia="Calibri"/>
          <w:lang w:val="es-ES"/>
        </w:rPr>
      </w:pPr>
      <w:r>
        <w:rPr>
          <w:rFonts w:eastAsia="Calibri"/>
          <w:noProof/>
          <w:lang w:val="es-ES"/>
        </w:rPr>
        <w:drawing>
          <wp:anchor distT="0" distB="0" distL="114300" distR="114300" simplePos="0" relativeHeight="251673088" behindDoc="0" locked="0" layoutInCell="1" allowOverlap="1" wp14:anchorId="053201D2" wp14:editId="6A7C998C">
            <wp:simplePos x="0" y="0"/>
            <wp:positionH relativeFrom="page">
              <wp:align>center</wp:align>
            </wp:positionH>
            <wp:positionV relativeFrom="page">
              <wp:posOffset>1600200</wp:posOffset>
            </wp:positionV>
            <wp:extent cx="5394960" cy="7769387"/>
            <wp:effectExtent l="0" t="0" r="0" b="3175"/>
            <wp:wrapNone/>
            <wp:docPr id="152638313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83130" name="Picture 1" descr="A diagram of a company&#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394960" cy="7769387"/>
                    </a:xfrm>
                    <a:prstGeom prst="rect">
                      <a:avLst/>
                    </a:prstGeom>
                  </pic:spPr>
                </pic:pic>
              </a:graphicData>
            </a:graphic>
            <wp14:sizeRelH relativeFrom="page">
              <wp14:pctWidth>0</wp14:pctWidth>
            </wp14:sizeRelH>
            <wp14:sizeRelV relativeFrom="page">
              <wp14:pctHeight>0</wp14:pctHeight>
            </wp14:sizeRelV>
          </wp:anchor>
        </w:drawing>
      </w:r>
    </w:p>
    <w:p w14:paraId="7C901083" w14:textId="74308A2E" w:rsidR="001F6E20" w:rsidRDefault="001F6E20" w:rsidP="007C4F17">
      <w:r>
        <w:br w:type="page"/>
      </w:r>
    </w:p>
    <w:p w14:paraId="51EED5C2" w14:textId="70CDC577" w:rsidR="00044C27" w:rsidRDefault="00044C27" w:rsidP="00044C27">
      <w:pPr>
        <w:pStyle w:val="Heading1"/>
      </w:pPr>
      <w:bookmarkStart w:id="75" w:name="_Toc159414644"/>
      <w:r>
        <w:lastRenderedPageBreak/>
        <w:t>07 Provisiones adicionales</w:t>
      </w:r>
      <w:bookmarkEnd w:id="75"/>
    </w:p>
    <w:p w14:paraId="3BD46B76" w14:textId="77777777" w:rsidR="00AB50D9" w:rsidRDefault="00AB50D9" w:rsidP="00AB50D9">
      <w:pPr>
        <w:pStyle w:val="Heading2"/>
      </w:pPr>
      <w:r>
        <w:t>Certificados de transacción / importación / inspección (TC/COI)</w:t>
      </w:r>
    </w:p>
    <w:p w14:paraId="5F2B7138" w14:textId="77777777" w:rsidR="00AB50D9" w:rsidRDefault="00AB50D9" w:rsidP="00AB50D9">
      <w:pPr>
        <w:pStyle w:val="Heading3"/>
      </w:pPr>
      <w:r w:rsidRPr="227E1361">
        <w:t>Certificados de Transacciones de la UE</w:t>
      </w:r>
    </w:p>
    <w:p w14:paraId="20A36C01" w14:textId="77777777" w:rsidR="00AB50D9" w:rsidRDefault="00AB50D9" w:rsidP="00AB50D9">
      <w:pPr>
        <w:rPr>
          <w:lang w:val="es-ES"/>
        </w:rPr>
      </w:pPr>
      <w:r>
        <w:t xml:space="preserve">Todos los certificados de transacción, llamados Certificados de Inspección (COI) para la UE, deben solicitarse y emitirse a través del sistema en línea TRACES de la UE. Los exportadores y los importadores europeos deben registrarse, y luego podrán solicitar COI a través del sistema, momento en el cual QCS será notificado y podrá aprobar y firmar el COI. Productos exportados a Irlanda del Norte-Reino Unido bajo el Acuerdo de Equivalencia Estados Unidos-Reino Unido, también requieren un certificado de transacción de la UE. </w:t>
      </w:r>
    </w:p>
    <w:p w14:paraId="3873231A" w14:textId="77777777" w:rsidR="00AB50D9" w:rsidRPr="004E4C82" w:rsidRDefault="00AB50D9" w:rsidP="00AB50D9">
      <w:hyperlink r:id="rId62">
        <w:r w:rsidRPr="227E1361">
          <w:rPr>
            <w:rStyle w:val="Hyperlink"/>
            <w:rFonts w:asciiTheme="minorHAnsi" w:hAnsiTheme="minorHAnsi"/>
          </w:rPr>
          <w:t>https://webgate.ec.europa.eu/tracesnt/login</w:t>
        </w:r>
      </w:hyperlink>
      <w:r w:rsidRPr="227E1361">
        <w:rPr>
          <w:rStyle w:val="Hyperlink"/>
          <w:rFonts w:asciiTheme="minorHAnsi" w:hAnsiTheme="minorHAnsi"/>
          <w:color w:val="auto"/>
        </w:rPr>
        <w:t>.</w:t>
      </w:r>
    </w:p>
    <w:p w14:paraId="341673E3" w14:textId="142B3A0D" w:rsidR="00AB50D9" w:rsidRDefault="007B775B" w:rsidP="007C4F17">
      <w:pPr>
        <w:pStyle w:val="Heading3"/>
      </w:pPr>
      <w:r>
        <w:t>Certificados de Importación NOP</w:t>
      </w:r>
      <w:r w:rsidR="00937684">
        <w:t xml:space="preserve"> (NOP Import Certificate)</w:t>
      </w:r>
    </w:p>
    <w:p w14:paraId="0B2A46A3" w14:textId="24522549" w:rsidR="00044C27" w:rsidRDefault="00937684" w:rsidP="00044C27">
      <w:r w:rsidRPr="00937684">
        <w:t xml:space="preserve">Luego de la implementación de la norma final de Fortalecimiento de la Aplicación Orgánica </w:t>
      </w:r>
      <w:r>
        <w:t xml:space="preserve">(Strengthening Organic Enforcement, SOE) </w:t>
      </w:r>
      <w:r w:rsidRPr="00937684">
        <w:t>el 19 de marzo de 2024, cualquier producto agrícola orgánico importado a los Estados Unidos debe estar asociado con un Certificado de Importación NOP válido, generado por el agente certificador del exportador certificado final que envía el producto al Estados Unidos. Este requisito se aplica a productos certificados como orgánicos del USDA o comercializados bajo un acuerdo de equivalencia establecido. QCS verifica la validez de la solicitud del Certificado de Importación NOP para garantizar que el producto a exportar esté certificado como orgánico y que se mantenga su integridad orgánica. Los Certificados Orgánicos NOP aprobados se generan dentro de la Base de Datos de Integridad Orgánica (OID). No se pueden importar productos orgánicos a los Estados Unidos sin un Certificado de Importación NOP aprobado.</w:t>
      </w:r>
      <w:r>
        <w:t xml:space="preserve"> </w:t>
      </w:r>
    </w:p>
    <w:p w14:paraId="02D977A3" w14:textId="17B7E0F9" w:rsidR="00937684" w:rsidRDefault="00937684" w:rsidP="007C4F17">
      <w:pPr>
        <w:pStyle w:val="Heading3"/>
      </w:pPr>
      <w:r>
        <w:t xml:space="preserve">Documentación para exportación de productos orgánicos </w:t>
      </w:r>
      <w:r w:rsidR="005B3E57">
        <w:t>del</w:t>
      </w:r>
      <w:r w:rsidR="00A40780">
        <w:t xml:space="preserve"> USDA NOP</w:t>
      </w:r>
      <w:r w:rsidR="005B3E57">
        <w:t xml:space="preserve"> bajo asociaciones comerciales / </w:t>
      </w:r>
      <w:r w:rsidR="003A141A">
        <w:t>acuerdos de equivalencia</w:t>
      </w:r>
    </w:p>
    <w:p w14:paraId="2E333317" w14:textId="7E05D929" w:rsidR="00937684" w:rsidRDefault="00D1377E" w:rsidP="00044C27">
      <w:r w:rsidRPr="00D1377E">
        <w:t xml:space="preserve">Es posible que se requieran certificados de transacción para productos orgánicos del USDA exportados desde los EE. UU. a países con acuerdos comerciales orgánicos establecidos. Los requisitos actuales se detallan en el sitio web NOP del USDA sobre </w:t>
      </w:r>
      <w:hyperlink r:id="rId63" w:history="1">
        <w:r w:rsidRPr="00A17D3A">
          <w:rPr>
            <w:rStyle w:val="Hyperlink"/>
            <w:rFonts w:asciiTheme="minorHAnsi" w:hAnsiTheme="minorHAnsi" w:cstheme="minorBidi"/>
          </w:rPr>
          <w:t>acuerdos comerciales orgánicos internacionales</w:t>
        </w:r>
      </w:hyperlink>
      <w:r w:rsidRPr="00D1377E">
        <w:t>.</w:t>
      </w:r>
      <w:r>
        <w:t xml:space="preserve"> </w:t>
      </w:r>
    </w:p>
    <w:p w14:paraId="1328E7AB" w14:textId="77777777" w:rsidR="00D1377E" w:rsidRPr="00E469F0" w:rsidRDefault="00D1377E" w:rsidP="00D1377E">
      <w:pPr>
        <w:pStyle w:val="Heading2"/>
        <w:rPr>
          <w:lang w:val="es-ES"/>
        </w:rPr>
      </w:pPr>
      <w:r w:rsidRPr="227E1361">
        <w:t>Inspecciones Adicionales/No anunciadas</w:t>
      </w:r>
    </w:p>
    <w:p w14:paraId="234C421F" w14:textId="77777777" w:rsidR="00D1377E" w:rsidRPr="001B0878" w:rsidRDefault="00D1377E" w:rsidP="00D1377E">
      <w:pPr>
        <w:pStyle w:val="Heading3"/>
        <w:rPr>
          <w:lang w:val="es-ES"/>
        </w:rPr>
      </w:pPr>
      <w:r w:rsidRPr="227E1361">
        <w:rPr>
          <w:lang w:val="es-ES"/>
        </w:rPr>
        <w:t>QCS Inspecciones No-Anunciadas</w:t>
      </w:r>
      <w:r>
        <w:rPr>
          <w:lang w:val="es-ES"/>
        </w:rPr>
        <w:t xml:space="preserve"> </w:t>
      </w:r>
      <w:r w:rsidRPr="227E1361">
        <w:rPr>
          <w:lang w:val="es-ES"/>
        </w:rPr>
        <w:t>- NOP</w:t>
      </w:r>
      <w:r w:rsidRPr="00077910">
        <w:rPr>
          <w:rFonts w:cs="Times New Roman"/>
          <w:vertAlign w:val="superscript"/>
        </w:rPr>
        <w:footnoteReference w:id="26"/>
      </w:r>
    </w:p>
    <w:p w14:paraId="3F915F2D" w14:textId="77777777" w:rsidR="00D1377E" w:rsidRPr="001B0878" w:rsidRDefault="00D1377E" w:rsidP="00D1377E">
      <w:pPr>
        <w:spacing w:line="240" w:lineRule="auto"/>
        <w:rPr>
          <w:rFonts w:eastAsia="Times New Roman"/>
          <w:b/>
          <w:bCs/>
        </w:rPr>
      </w:pPr>
      <w:r w:rsidRPr="001B0878">
        <w:rPr>
          <w:rFonts w:eastAsia="Times New Roman"/>
          <w:lang w:val="es-ES"/>
        </w:rPr>
        <w:t>QCS puede realizar inspecciones in situ adicionales (ya sea anunciadas o no anunciadas) de los solicitantes de certificación y operaciones certificadas para determinar el cumplimiento de</w:t>
      </w:r>
      <w:r w:rsidRPr="004F33C1">
        <w:rPr>
          <w:rFonts w:eastAsia="Times New Roman"/>
          <w:lang w:val="es-ES"/>
        </w:rPr>
        <w:t xml:space="preserve"> </w:t>
      </w:r>
      <w:r w:rsidRPr="227E1361">
        <w:rPr>
          <w:rFonts w:eastAsia="Times New Roman"/>
        </w:rPr>
        <w:t>Normas Orgánicas Nacionales</w:t>
      </w:r>
      <w:r w:rsidRPr="004F33C1">
        <w:rPr>
          <w:rFonts w:eastAsia="Times New Roman"/>
          <w:lang w:val="es-ES"/>
        </w:rPr>
        <w:t xml:space="preserve"> </w:t>
      </w:r>
      <w:r w:rsidRPr="001B0878">
        <w:rPr>
          <w:rFonts w:eastAsia="Times New Roman"/>
          <w:lang w:val="es-ES"/>
        </w:rPr>
        <w:t xml:space="preserve">o cualquier otra norma aplicable (para productos de exportación). El </w:t>
      </w:r>
      <w:r w:rsidRPr="004F33C1">
        <w:rPr>
          <w:rFonts w:eastAsia="Times New Roman"/>
          <w:lang w:val="es-ES"/>
        </w:rPr>
        <w:t>Administrador</w:t>
      </w:r>
      <w:r w:rsidRPr="001B0878">
        <w:rPr>
          <w:rFonts w:eastAsia="Times New Roman"/>
          <w:lang w:val="es-ES"/>
        </w:rPr>
        <w:t xml:space="preserve"> o el funcionario rector del programa orgánico estatal puede requerir que QCS realice inspecciones adicionales (anunciadas o no anunciadas) con el fin de determinar el cumplimiento de las Normas Orgánicas Nacionales. El </w:t>
      </w:r>
      <w:r w:rsidRPr="004F33C1">
        <w:rPr>
          <w:rFonts w:eastAsia="Times New Roman"/>
          <w:lang w:val="es-ES"/>
        </w:rPr>
        <w:t>Administrador</w:t>
      </w:r>
      <w:r w:rsidRPr="001B0878">
        <w:rPr>
          <w:rFonts w:eastAsia="Times New Roman"/>
          <w:lang w:val="es-ES"/>
        </w:rPr>
        <w:t xml:space="preserve"> de NOP requiere que los agentes certificadores realicen inspecciones no anunciadas del 5% de sus </w:t>
      </w:r>
      <w:r w:rsidRPr="00F072EB">
        <w:rPr>
          <w:rFonts w:eastAsia="Times New Roman" w:cstheme="minorHAnsi"/>
          <w:lang w:val="es-ES"/>
        </w:rPr>
        <w:t>operaciones certificadas totales por año como una herramienta para garantizar el cumplimiento de las regulaciones</w:t>
      </w:r>
      <w:r w:rsidRPr="00F072EB">
        <w:rPr>
          <w:rStyle w:val="FootnoteReference"/>
          <w:rFonts w:asciiTheme="minorHAnsi" w:eastAsia="Times New Roman" w:hAnsiTheme="minorHAnsi" w:cstheme="minorHAnsi"/>
        </w:rPr>
        <w:footnoteReference w:id="27"/>
      </w:r>
      <w:r>
        <w:rPr>
          <w:rFonts w:eastAsia="Times New Roman" w:cstheme="minorHAnsi"/>
          <w:lang w:val="es-ES"/>
        </w:rPr>
        <w:t>.</w:t>
      </w:r>
    </w:p>
    <w:p w14:paraId="46FD18DD" w14:textId="77777777" w:rsidR="00D1377E" w:rsidRPr="007163B2" w:rsidRDefault="00D1377E" w:rsidP="00D1377E">
      <w:pPr>
        <w:pStyle w:val="Heading3"/>
        <w:rPr>
          <w:lang w:val="es-ES"/>
        </w:rPr>
      </w:pPr>
      <w:r w:rsidRPr="227E1361">
        <w:lastRenderedPageBreak/>
        <w:t>Inspección Adicional y No-Anunciada - Requerimientos de Certificación del Reglamento (UE) 2018/848</w:t>
      </w:r>
    </w:p>
    <w:p w14:paraId="76AFB61E" w14:textId="77777777" w:rsidR="00D1377E" w:rsidRPr="00CC55A2" w:rsidRDefault="00D1377E" w:rsidP="00D1377E">
      <w:pPr>
        <w:rPr>
          <w:rFonts w:eastAsia="Times New Roman"/>
        </w:rPr>
      </w:pPr>
      <w:r w:rsidRPr="227E1361">
        <w:rPr>
          <w:lang w:val="es"/>
        </w:rPr>
        <w:t>Además de las inspecciones anuales, QCS realiza inspecciones adicionales de un mínimo del 10% de los operadores certificados según el estándar de la UE. El 10% de todas las inspecciones requeridas se realizará sin previo aviso cada año</w:t>
      </w:r>
      <w:r w:rsidRPr="00F072EB">
        <w:rPr>
          <w:rStyle w:val="FootnoteReference"/>
          <w:rFonts w:asciiTheme="minorHAnsi" w:eastAsia="Times New Roman" w:hAnsiTheme="minorHAnsi" w:cstheme="minorHAnsi"/>
        </w:rPr>
        <w:footnoteReference w:id="28"/>
      </w:r>
      <w:r>
        <w:rPr>
          <w:lang w:val="es"/>
        </w:rPr>
        <w:t>.</w:t>
      </w:r>
    </w:p>
    <w:p w14:paraId="4DEA82F3" w14:textId="77777777" w:rsidR="00D1377E" w:rsidRPr="00452D4A" w:rsidRDefault="00D1377E" w:rsidP="00D1377E">
      <w:pPr>
        <w:spacing w:line="240" w:lineRule="auto"/>
        <w:rPr>
          <w:rFonts w:eastAsia="Times New Roman" w:cs="Times New Roman"/>
        </w:rPr>
      </w:pPr>
      <w:r w:rsidRPr="00FE7F19">
        <w:rPr>
          <w:lang w:val="es"/>
        </w:rPr>
        <w:t>Las inspecciones aleatorias adicionales son principalmente no anunciadas, basadas en la evaluación general del riesgo de incumplimiento con los Requisitos de Certificación del Reglamento (UE) 2018/848 teniendo en cuenta una variedad de criterios que incluyen, pero no se limitan a: al menos los resultados de la inspección anterior, la cantidad de productos concernidos y el riesgo de mezcla. Las inspecciones anuales y adicionales aleatorias pueden ser no anunciadas, a discreción de QCS para confirmar el cumplimiento con los Requisitos de Certificación del Reglamento (UE) 2018/848</w:t>
      </w:r>
      <w:r>
        <w:rPr>
          <w:lang w:val="es"/>
        </w:rPr>
        <w:t>.</w:t>
      </w:r>
    </w:p>
    <w:p w14:paraId="38AE8D67" w14:textId="77777777" w:rsidR="00D1377E" w:rsidRPr="00FE7F19" w:rsidRDefault="00D1377E" w:rsidP="00D1377E">
      <w:pPr>
        <w:spacing w:line="240" w:lineRule="auto"/>
      </w:pPr>
      <w:r w:rsidRPr="00FE7F19">
        <w:rPr>
          <w:lang w:val="es"/>
        </w:rPr>
        <w:t>QCS implementa controles adicionales según lo requiera la Comisión Europea, que pueden incluir inspecciones adicionales por encima del 10% de los operadores certificados</w:t>
      </w:r>
      <w:r w:rsidRPr="227E1361">
        <w:rPr>
          <w:lang w:val="es"/>
        </w:rPr>
        <w:t>.</w:t>
      </w:r>
    </w:p>
    <w:p w14:paraId="1B737C31" w14:textId="77777777" w:rsidR="00D1377E" w:rsidRPr="00B219C4" w:rsidRDefault="00D1377E" w:rsidP="00D1377E">
      <w:pPr>
        <w:pStyle w:val="Heading3"/>
        <w:rPr>
          <w:lang w:val="es-ES"/>
        </w:rPr>
      </w:pPr>
      <w:r w:rsidRPr="227E1361">
        <w:t>Inspecciones No Anunciadas – Régimen Orgánico de Canadá</w:t>
      </w:r>
      <w:r>
        <w:t xml:space="preserve"> </w:t>
      </w:r>
      <w:r w:rsidRPr="227E1361">
        <w:t>(COR)</w:t>
      </w:r>
    </w:p>
    <w:p w14:paraId="38701A20" w14:textId="77777777" w:rsidR="00D1377E" w:rsidRPr="00D90DF9" w:rsidRDefault="00D1377E" w:rsidP="00D1377E">
      <w:pPr>
        <w:spacing w:line="240" w:lineRule="auto"/>
        <w:rPr>
          <w:rFonts w:asciiTheme="majorHAnsi" w:hAnsiTheme="majorHAnsi" w:cstheme="majorBidi"/>
        </w:rPr>
      </w:pPr>
      <w:r w:rsidRPr="227E1361">
        <w:rPr>
          <w:rFonts w:eastAsia="Times New Roman"/>
        </w:rPr>
        <w:t>Las inspecciones in situ no anunciadas pueden realizarse en cualquier momento a discreción de QCS para confirmar el cumplimiento del Régimen Orgánico de Canadá. Las inspecciones no anunciadas pueden tener un alcance limitado y pueden cubrir solo ciertos aspectos de la operación. Los operadores elegidos para las inspecciones no anunciadas pueden ser aleatorios, basados en el riesgo o como resultado de una querella o investigación. El agente certificador no está obligado a revelar al operador el motivo de la inspección no anunciada o adicional. Los criterios para seleccionar operaciones a las cuales se les realizara inspecciones no anunciadas según el riesgo se basan en los ejemplos establecidos en la sección C.2.6.4. del SFCR.</w:t>
      </w:r>
    </w:p>
    <w:p w14:paraId="3FA70B8D" w14:textId="77777777" w:rsidR="00D1377E" w:rsidRPr="00AE37BF" w:rsidRDefault="00D1377E" w:rsidP="00D1377E">
      <w:pPr>
        <w:rPr>
          <w:rFonts w:eastAsia="Times New Roman" w:cs="Arial"/>
          <w:lang w:val="es-ES"/>
        </w:rPr>
      </w:pPr>
      <w:r w:rsidRPr="227E1361">
        <w:rPr>
          <w:rFonts w:eastAsia="Times New Roman" w:cs="Arial"/>
        </w:rPr>
        <w:t>A principios de año, QCS planifica visitas adicionales sin previo aviso, que representan el 5% de los titulares de certificados (mínimo uno) a los que QCS otorga la certificación para productos y / o certificación de empaque y etiquetado. En el caso de que no sea posible realizar una inspección no anunciada, se puede avisar con anticipación siempre que este período de notificación no permita tiempo para cubrir los incumplimientos que puedan existir. En cualquier caso, el aviso no será superior a 24 horas.</w:t>
      </w:r>
    </w:p>
    <w:p w14:paraId="0672F678" w14:textId="77777777" w:rsidR="00D1377E" w:rsidRPr="00173C75" w:rsidRDefault="00D1377E" w:rsidP="00D1377E">
      <w:pPr>
        <w:rPr>
          <w:rFonts w:eastAsia="Times New Roman"/>
          <w:lang w:val="es-ES"/>
        </w:rPr>
      </w:pPr>
      <w:r w:rsidRPr="227E1361">
        <w:rPr>
          <w:rFonts w:eastAsia="Times New Roman" w:cs="Arial"/>
        </w:rPr>
        <w:t>QCS también debe cumplir con cualquier solicitud de CFIA o CAEQ para realizar inspecciones adicionales cuando el cumplimiento de la operación sea dudoso o por otras razones válidas.</w:t>
      </w:r>
    </w:p>
    <w:p w14:paraId="03660FB2" w14:textId="77777777" w:rsidR="00D1377E" w:rsidRDefault="00D1377E" w:rsidP="00D1377E">
      <w:pPr>
        <w:pStyle w:val="Heading3"/>
      </w:pPr>
      <w:r>
        <w:t>A</w:t>
      </w:r>
      <w:r w:rsidRPr="0019554B">
        <w:t xml:space="preserve">uditorías de trazabilidad de la cadena de suministro – </w:t>
      </w:r>
      <w:r>
        <w:t>NOP</w:t>
      </w:r>
    </w:p>
    <w:p w14:paraId="6880EC72" w14:textId="67EF5F35" w:rsidR="00D1377E" w:rsidRPr="00AC2C91" w:rsidRDefault="00D1377E" w:rsidP="00D1377E">
      <w:r w:rsidRPr="0097102D">
        <w:t>QCS realiza auditorías de trazabilidad de la cadena de suministro basadas en riesgos para identificar y rastrear el movimiento, la venta, la custodia, la manipulación y el estado orgánico de un producto agrícola a lo largo de la cadena de suministro para verificar el cumplimiento del producto agrícola con las regulaciones orgánicas del USDA.</w:t>
      </w:r>
      <w:r w:rsidR="00FE3981">
        <w:t xml:space="preserve"> </w:t>
      </w:r>
      <w:r w:rsidR="00FE3981">
        <w:br w:type="page"/>
      </w:r>
    </w:p>
    <w:p w14:paraId="1389178A" w14:textId="0F9B3FE4" w:rsidR="00D267F2" w:rsidRPr="00AF4263" w:rsidRDefault="227E1361" w:rsidP="007C4F17">
      <w:pPr>
        <w:pStyle w:val="Heading2"/>
        <w:rPr>
          <w:lang w:val="es-ES"/>
        </w:rPr>
      </w:pPr>
      <w:r w:rsidRPr="227E1361">
        <w:lastRenderedPageBreak/>
        <w:t>Restablecimiento</w:t>
      </w:r>
    </w:p>
    <w:p w14:paraId="62A26D68" w14:textId="0D1C92D1" w:rsidR="00DE50C9" w:rsidRPr="00AF4263" w:rsidRDefault="227E1361" w:rsidP="007C4F17">
      <w:pPr>
        <w:pStyle w:val="Heading3"/>
        <w:rPr>
          <w:lang w:val="es-ES"/>
        </w:rPr>
      </w:pPr>
      <w:r w:rsidRPr="227E1361">
        <w:t>Restablecimiento después de la Suspensión -</w:t>
      </w:r>
      <w:r w:rsidR="00B0788B">
        <w:t xml:space="preserve"> </w:t>
      </w:r>
      <w:r w:rsidRPr="227E1361">
        <w:t>NOP</w:t>
      </w:r>
    </w:p>
    <w:p w14:paraId="4A6350C8" w14:textId="3C042EE3" w:rsidR="00E40EF6" w:rsidRPr="006E634E" w:rsidRDefault="227E1361" w:rsidP="00337BBD">
      <w:pPr>
        <w:rPr>
          <w:rFonts w:eastAsia="Calibri"/>
          <w:lang w:val="es-ES"/>
        </w:rPr>
      </w:pPr>
      <w:r w:rsidRPr="227E1361">
        <w:rPr>
          <w:rFonts w:eastAsia="Calibri"/>
        </w:rPr>
        <w:t xml:space="preserve">Una operación certificada </w:t>
      </w:r>
      <w:r w:rsidR="00974F26">
        <w:rPr>
          <w:rFonts w:eastAsia="Calibri"/>
        </w:rPr>
        <w:t xml:space="preserve">o una persona conectada responsablemente a la operación </w:t>
      </w:r>
      <w:r w:rsidRPr="227E1361">
        <w:rPr>
          <w:rFonts w:eastAsia="Calibri"/>
        </w:rPr>
        <w:t xml:space="preserve">cuya certificación ha sido suspendida puede, en cualquier momento, a menos que se indique lo contrario en la notificación de suspensión, presentar una solicitud al Secretary de Agricultura para restablecer su certificación NOP. La solicitud debe ir acompañada de evidencia que demuestre la corrección de cada incumplimiento y las medidas correctivas tomadas para cumplir y seguir cumpliendo. </w:t>
      </w:r>
    </w:p>
    <w:p w14:paraId="3FBB8A1C" w14:textId="677F0D61" w:rsidR="00A14CCE" w:rsidRPr="006E634E" w:rsidRDefault="227E1361" w:rsidP="00337BBD">
      <w:pPr>
        <w:rPr>
          <w:rFonts w:eastAsia="Calibri"/>
          <w:lang w:val="es-ES"/>
        </w:rPr>
      </w:pPr>
      <w:r w:rsidRPr="227E1361">
        <w:rPr>
          <w:rFonts w:eastAsia="Calibri"/>
        </w:rPr>
        <w:t xml:space="preserve">QCS no otorga certificación a un operador a quien se le suspendió la certificación anteriormente, a menos que el operador haya solicitado un restablecimiento otorgado por el NOP. </w:t>
      </w:r>
    </w:p>
    <w:p w14:paraId="65E6C9A9" w14:textId="5938F2BA" w:rsidR="009779DA" w:rsidRPr="009779DA" w:rsidRDefault="227E1361" w:rsidP="007C4F17">
      <w:pPr>
        <w:pStyle w:val="Heading3"/>
        <w:rPr>
          <w:lang w:val="es-ES"/>
        </w:rPr>
      </w:pPr>
      <w:r w:rsidRPr="227E1361">
        <w:t>Restablecimiento después de la Cancelación –</w:t>
      </w:r>
      <w:r w:rsidR="008F17D3">
        <w:t xml:space="preserve"> </w:t>
      </w:r>
      <w:r w:rsidRPr="227E1361">
        <w:t>COR</w:t>
      </w:r>
    </w:p>
    <w:p w14:paraId="08693EF4" w14:textId="3F57E8BB" w:rsidR="00963020" w:rsidRPr="009779DA" w:rsidRDefault="227E1361" w:rsidP="00337BBD">
      <w:pPr>
        <w:rPr>
          <w:rFonts w:eastAsia="Calibri"/>
          <w:lang w:val="es-ES"/>
        </w:rPr>
      </w:pPr>
      <w:r w:rsidRPr="227E1361">
        <w:rPr>
          <w:rFonts w:eastAsia="Calibri"/>
        </w:rPr>
        <w:t>QCS no otorgará la certificación a un solicitante que haya cancelado previamente su certificación y cuyo nombre aparece en la lista publicada de certificaciones orgánicas canceladas de CFIA. QCS solo puede restablecer la certificación cancelada después de que un operador haya presentado una solicitud de certificación, haya tenido una inspección y haya cerrado todas las no conformidades; y se solicitó a la CFIA que elimine el nombre del titular del certificado de la lista de titulares cancelados de los certificados publicados en el sitio web de la CFIA, y QCS recibió una confirmación de la CFIA de la fecha de restablecimiento de la certificación</w:t>
      </w:r>
      <w:r w:rsidRPr="227E1361">
        <w:rPr>
          <w:rFonts w:eastAsia="Times New Roman"/>
        </w:rPr>
        <w:t>.</w:t>
      </w:r>
      <w:r w:rsidRPr="227E1361">
        <w:rPr>
          <w:rFonts w:eastAsia="Calibri"/>
        </w:rPr>
        <w:t xml:space="preserve"> </w:t>
      </w:r>
    </w:p>
    <w:p w14:paraId="6D98636D" w14:textId="4B9441BD" w:rsidR="227E1361" w:rsidRPr="00FE7F19" w:rsidRDefault="227E1361" w:rsidP="007C4F17">
      <w:pPr>
        <w:pStyle w:val="Heading3"/>
        <w:rPr>
          <w:lang w:val="es"/>
        </w:rPr>
      </w:pPr>
      <w:r w:rsidRPr="227E1361">
        <w:t>Restablecimiento después de la Retirada de la Certificación –</w:t>
      </w:r>
      <w:r w:rsidR="00D045ED">
        <w:t xml:space="preserve"> </w:t>
      </w:r>
      <w:r w:rsidR="00E2232E">
        <w:rPr>
          <w:lang w:val="es"/>
        </w:rPr>
        <w:t>Regenerative Organic Certified</w:t>
      </w:r>
      <w:r w:rsidRPr="00FE7F19">
        <w:rPr>
          <w:lang w:val="es"/>
        </w:rPr>
        <w:t>®</w:t>
      </w:r>
    </w:p>
    <w:p w14:paraId="43BBECBE" w14:textId="08ED61D7" w:rsidR="00A17A2C" w:rsidRPr="00A57E9B" w:rsidRDefault="227E1361" w:rsidP="00337BBD">
      <w:pPr>
        <w:rPr>
          <w:rFonts w:eastAsia="Calibri"/>
          <w:lang w:val="es-ES"/>
        </w:rPr>
      </w:pPr>
      <w:r w:rsidRPr="227E1361">
        <w:rPr>
          <w:rFonts w:eastAsia="Calibri"/>
        </w:rPr>
        <w:t xml:space="preserve">Si un operador </w:t>
      </w:r>
      <w:r w:rsidR="00E2232E">
        <w:rPr>
          <w:rFonts w:ascii="Calibri" w:eastAsia="Calibri" w:hAnsi="Calibri" w:cs="Calibri"/>
        </w:rPr>
        <w:t>Regenerative Organic Certified</w:t>
      </w:r>
      <w:r w:rsidRPr="227E1361">
        <w:rPr>
          <w:rFonts w:ascii="Calibri" w:eastAsia="Calibri" w:hAnsi="Calibri" w:cs="Calibri"/>
        </w:rPr>
        <w:t xml:space="preserve">® </w:t>
      </w:r>
      <w:r w:rsidRPr="227E1361">
        <w:rPr>
          <w:rFonts w:eastAsia="Calibri"/>
        </w:rPr>
        <w:t xml:space="preserve">desea recuperar la certificación </w:t>
      </w:r>
      <w:r w:rsidR="00E2232E">
        <w:rPr>
          <w:rFonts w:ascii="Calibri" w:eastAsia="Calibri" w:hAnsi="Calibri" w:cs="Calibri"/>
        </w:rPr>
        <w:t>Regenerative Organic Certified</w:t>
      </w:r>
      <w:r w:rsidRPr="00FE7F19">
        <w:rPr>
          <w:rFonts w:ascii="Calibri" w:eastAsia="Calibri" w:hAnsi="Calibri" w:cs="Calibri"/>
        </w:rPr>
        <w:t>®</w:t>
      </w:r>
      <w:r w:rsidRPr="227E1361">
        <w:rPr>
          <w:rFonts w:ascii="Calibri" w:eastAsia="Calibri" w:hAnsi="Calibri" w:cs="Calibri"/>
        </w:rPr>
        <w:t xml:space="preserve"> </w:t>
      </w:r>
      <w:r w:rsidRPr="227E1361">
        <w:rPr>
          <w:rFonts w:eastAsia="Calibri"/>
        </w:rPr>
        <w:t>después de haber retirado su</w:t>
      </w:r>
      <w:r w:rsidR="00C2598D">
        <w:rPr>
          <w:rFonts w:eastAsia="Calibri"/>
        </w:rPr>
        <w:t xml:space="preserve"> </w:t>
      </w:r>
      <w:r w:rsidR="00E2232E">
        <w:rPr>
          <w:rFonts w:ascii="Calibri" w:eastAsia="Calibri" w:hAnsi="Calibri" w:cs="Calibri"/>
        </w:rPr>
        <w:t>Regenerative Organic Certified</w:t>
      </w:r>
      <w:r w:rsidRPr="227E1361">
        <w:rPr>
          <w:rFonts w:ascii="Calibri" w:eastAsia="Calibri" w:hAnsi="Calibri" w:cs="Calibri"/>
        </w:rPr>
        <w:t>®</w:t>
      </w:r>
      <w:r w:rsidRPr="227E1361">
        <w:rPr>
          <w:rFonts w:eastAsia="Calibri"/>
        </w:rPr>
        <w:t xml:space="preserve">, el operador debe volver a solicitar la certificación </w:t>
      </w:r>
      <w:r w:rsidR="00E2232E">
        <w:rPr>
          <w:rFonts w:ascii="Calibri" w:eastAsia="Calibri" w:hAnsi="Calibri" w:cs="Calibri"/>
        </w:rPr>
        <w:t>Regenerative Organic Certified</w:t>
      </w:r>
      <w:r w:rsidRPr="227E1361">
        <w:rPr>
          <w:rFonts w:ascii="Calibri" w:eastAsia="Calibri" w:hAnsi="Calibri" w:cs="Calibri"/>
        </w:rPr>
        <w:t>®</w:t>
      </w:r>
      <w:r w:rsidRPr="227E1361">
        <w:rPr>
          <w:rFonts w:eastAsia="Calibri"/>
        </w:rPr>
        <w:t>.</w:t>
      </w:r>
    </w:p>
    <w:p w14:paraId="09C0AA1E" w14:textId="7B017BAB" w:rsidR="00D045ED" w:rsidRDefault="008F17D3" w:rsidP="007C4F17">
      <w:pPr>
        <w:pStyle w:val="Heading3"/>
        <w:rPr>
          <w:lang w:val="es"/>
        </w:rPr>
      </w:pPr>
      <w:r w:rsidRPr="227E1361">
        <w:t>Recertificación</w:t>
      </w:r>
      <w:r w:rsidR="227E1361" w:rsidRPr="227E1361">
        <w:t xml:space="preserve"> después de la Revocación - NOP &amp; OPT </w:t>
      </w:r>
      <w:r w:rsidR="227E1361" w:rsidRPr="00FE7F19">
        <w:rPr>
          <w:lang w:val="es"/>
        </w:rPr>
        <w:t>Ganado Orgánico Alimentado con Pasto</w:t>
      </w:r>
    </w:p>
    <w:p w14:paraId="6CC35F49" w14:textId="33E8EC5E" w:rsidR="00E40EF6" w:rsidRPr="000D5841" w:rsidRDefault="227E1361" w:rsidP="00337BBD">
      <w:pPr>
        <w:rPr>
          <w:rFonts w:eastAsia="Calibri"/>
          <w:lang w:val="es-ES"/>
        </w:rPr>
      </w:pPr>
      <w:r w:rsidRPr="227E1361">
        <w:rPr>
          <w:rFonts w:eastAsia="Calibri"/>
        </w:rPr>
        <w:t xml:space="preserve">Una operación certificada o una persona responsablemente conectada con un cliente cuya certificación ha sido revocada no es elegible para recibir la certificación por un período de 5 años a partir de la fecha de dicha revocación. Excepto que el Secretary puede, cuando sea en el mejor interés del programa de certificación, reducir o eliminar el período de inelegibilidad. </w:t>
      </w:r>
    </w:p>
    <w:p w14:paraId="315AA0EE" w14:textId="4C33997D" w:rsidR="00E40EF6" w:rsidRPr="000D5841" w:rsidRDefault="227E1361" w:rsidP="007C4F17">
      <w:pPr>
        <w:pStyle w:val="Heading3"/>
        <w:rPr>
          <w:lang w:val="es"/>
        </w:rPr>
      </w:pPr>
      <w:r w:rsidRPr="00FE7F19">
        <w:rPr>
          <w:lang w:val="es"/>
        </w:rPr>
        <w:t>Continuación de la certificación después de la suspensión – UE</w:t>
      </w:r>
    </w:p>
    <w:p w14:paraId="1E2B6A0F" w14:textId="47E9EDFD" w:rsidR="00E40EF6" w:rsidRPr="000D5841" w:rsidRDefault="227E1361" w:rsidP="00337BBD">
      <w:pPr>
        <w:rPr>
          <w:rFonts w:eastAsia="Calibri"/>
          <w:lang w:val="es"/>
        </w:rPr>
      </w:pPr>
      <w:r w:rsidRPr="00FE7F19">
        <w:rPr>
          <w:lang w:val="es"/>
        </w:rPr>
        <w:t>Una operación certificada cuya certificación ha sido suspendida por un período de tiempo especificado debe presentar acciones correctivas acompañadas de pruebas que demuestren la corrección de cada incumplimiento antes del final del período de suspensión para que la certificación pueda reanudarse. La certificación será retirada de los operadores que no corrijan los incumplimientos asociados con la suspensión de la certificación.</w:t>
      </w:r>
    </w:p>
    <w:p w14:paraId="19430C74" w14:textId="05EB351D" w:rsidR="00126D9E" w:rsidRPr="00126D9E" w:rsidRDefault="227E1361" w:rsidP="007C4F17">
      <w:pPr>
        <w:pStyle w:val="Heading3"/>
        <w:rPr>
          <w:lang w:val="es-ES"/>
        </w:rPr>
      </w:pPr>
      <w:r w:rsidRPr="227E1361">
        <w:t xml:space="preserve">Restablecimiento después de la </w:t>
      </w:r>
      <w:r w:rsidRPr="00523E56">
        <w:t>Suspensión</w:t>
      </w:r>
      <w:r w:rsidR="00D1377E">
        <w:t xml:space="preserve"> -</w:t>
      </w:r>
      <w:r w:rsidRPr="00523E56">
        <w:t xml:space="preserve"> OPT Ganado Orgánico Alimentado con Pasto</w:t>
      </w:r>
    </w:p>
    <w:p w14:paraId="7A5E87A8" w14:textId="16D8CAE4" w:rsidR="00E40EF6" w:rsidRPr="001A2C21" w:rsidRDefault="227E1361" w:rsidP="00337BBD">
      <w:pPr>
        <w:rPr>
          <w:rFonts w:eastAsia="Calibri"/>
        </w:rPr>
      </w:pPr>
      <w:r w:rsidRPr="227E1361">
        <w:rPr>
          <w:rFonts w:eastAsia="Calibri"/>
        </w:rPr>
        <w:t xml:space="preserve">Una operación certificada cuya certificación ha sido suspendida puede en cualquier momento, a menos que se indique lo contrario en la notificación de suspensión, presentar una solicitud a QCS para la restitución de su certificación </w:t>
      </w:r>
      <w:r w:rsidR="00A24C2A">
        <w:rPr>
          <w:rFonts w:eastAsia="Calibri"/>
        </w:rPr>
        <w:t>UE</w:t>
      </w:r>
      <w:r w:rsidRPr="227E1361">
        <w:rPr>
          <w:rFonts w:eastAsia="Calibri"/>
        </w:rPr>
        <w:t xml:space="preserve">. La solicitud debe ir acompañada de evidencia que demuestre la corrección de cada incumplimiento y las medidas correctivas tomadas para cumplir y seguir cumpliendo. </w:t>
      </w:r>
      <w:r w:rsidR="001A2C21">
        <w:rPr>
          <w:rFonts w:eastAsia="Calibri"/>
        </w:rPr>
        <w:br w:type="page"/>
      </w:r>
    </w:p>
    <w:p w14:paraId="4421409A" w14:textId="2B9DA55F" w:rsidR="004762AE" w:rsidRPr="00996AE0" w:rsidRDefault="227E1361" w:rsidP="007C4F17">
      <w:pPr>
        <w:pStyle w:val="Heading2"/>
        <w:rPr>
          <w:lang w:val="es-ES"/>
        </w:rPr>
      </w:pPr>
      <w:r w:rsidRPr="227E1361">
        <w:lastRenderedPageBreak/>
        <w:t>Modificación de la Certificación</w:t>
      </w:r>
    </w:p>
    <w:p w14:paraId="7D26D789" w14:textId="56B4B4C4" w:rsidR="227E1361" w:rsidRPr="00C0768C" w:rsidRDefault="227E1361" w:rsidP="007C4F17">
      <w:pPr>
        <w:pStyle w:val="Heading3"/>
      </w:pPr>
      <w:r w:rsidRPr="227E1361">
        <w:t xml:space="preserve">Modificación de la </w:t>
      </w:r>
      <w:r w:rsidRPr="00C0768C">
        <w:t>Certificación – NOP y OPT Ganado Orgánico Alimentado con Pasto</w:t>
      </w:r>
    </w:p>
    <w:p w14:paraId="07392DF8" w14:textId="55F4554B" w:rsidR="000D0652" w:rsidRPr="000D0652" w:rsidRDefault="227E1361" w:rsidP="00337BBD">
      <w:pPr>
        <w:rPr>
          <w:rFonts w:eastAsia="Times New Roman"/>
          <w:lang w:val="es-ES"/>
        </w:rPr>
      </w:pPr>
      <w:r w:rsidRPr="227E1361">
        <w:rPr>
          <w:rFonts w:eastAsia="Times New Roman"/>
        </w:rPr>
        <w:t xml:space="preserve">Los clientes deben informar a QCS, por escrito, sobre cualquier modificación que amplíe o reduzca su alcance de certificación ya otorgado. Estas modificaciones pueden incluir, pero no están limitadas a, cambios en la estructura organizacional o administración y / o cambios significativos en el </w:t>
      </w:r>
      <w:r w:rsidR="00C04921">
        <w:rPr>
          <w:rFonts w:eastAsia="Times New Roman"/>
        </w:rPr>
        <w:t>Plan de sistema orgánico</w:t>
      </w:r>
      <w:r w:rsidRPr="227E1361">
        <w:rPr>
          <w:rFonts w:eastAsia="Times New Roman"/>
        </w:rPr>
        <w:t>. El cliente no puede lanzar productos afectados por la modificación hasta que el revisor de certificación haya revisado la modificación y haya encontrado que cumple con los estándares de certificación aplicables.</w:t>
      </w:r>
    </w:p>
    <w:p w14:paraId="1DB95AB3" w14:textId="57E1287D" w:rsidR="00CF204E" w:rsidRPr="000D0652" w:rsidRDefault="227E1361" w:rsidP="00337BBD">
      <w:pPr>
        <w:rPr>
          <w:rFonts w:eastAsia="Times New Roman"/>
          <w:lang w:val="es-ES"/>
        </w:rPr>
      </w:pPr>
      <w:r w:rsidRPr="227E1361">
        <w:rPr>
          <w:rFonts w:eastAsia="Times New Roman"/>
        </w:rPr>
        <w:t xml:space="preserve">Si los cambios en el </w:t>
      </w:r>
      <w:r w:rsidR="001234CD" w:rsidRPr="227E1361">
        <w:rPr>
          <w:rFonts w:eastAsia="Times New Roman"/>
        </w:rPr>
        <w:t>sistema</w:t>
      </w:r>
      <w:r w:rsidRPr="227E1361">
        <w:rPr>
          <w:rFonts w:eastAsia="Times New Roman"/>
        </w:rPr>
        <w:t xml:space="preserve"> son mínimos y están claramente dentro de los estándares, se puede emitir un certificado modificado y / o una Verificación del Productos, si corresponde. Si los cambios son extensos o no se demuestran fácilmente, puede ser necesaria una inspección del nuevo sistema de gestión o producción antes de aprobar la modificación.</w:t>
      </w:r>
      <w:r w:rsidR="00C2598D">
        <w:rPr>
          <w:rFonts w:eastAsia="Times New Roman"/>
        </w:rPr>
        <w:t xml:space="preserve"> </w:t>
      </w:r>
    </w:p>
    <w:p w14:paraId="3BE150EF" w14:textId="7F07AF8F" w:rsidR="227E1361" w:rsidRDefault="227E1361" w:rsidP="007C4F17">
      <w:pPr>
        <w:pStyle w:val="Heading3"/>
        <w:rPr>
          <w:lang w:val="es"/>
        </w:rPr>
      </w:pPr>
      <w:r w:rsidRPr="00FE7F19">
        <w:rPr>
          <w:lang w:val="es"/>
        </w:rPr>
        <w:t xml:space="preserve">Modificación de la Certificación – Requisitos de Certificación </w:t>
      </w:r>
      <w:r w:rsidR="003655E2">
        <w:rPr>
          <w:lang w:val="es"/>
        </w:rPr>
        <w:t>del Reglamento (UE)</w:t>
      </w:r>
      <w:r w:rsidRPr="00FE7F19">
        <w:rPr>
          <w:lang w:val="es"/>
        </w:rPr>
        <w:t xml:space="preserve"> 2018/848 y Régimen Orgánico de Canadá</w:t>
      </w:r>
    </w:p>
    <w:p w14:paraId="30C1D4BB" w14:textId="31A1B611" w:rsidR="227E1361" w:rsidRPr="00FE7F19" w:rsidRDefault="227E1361" w:rsidP="00337BBD">
      <w:pPr>
        <w:spacing w:line="240" w:lineRule="auto"/>
        <w:rPr>
          <w:rFonts w:eastAsia="Times New Roman"/>
          <w:lang w:val="es"/>
        </w:rPr>
      </w:pPr>
      <w:r w:rsidRPr="00FE7F19">
        <w:rPr>
          <w:rFonts w:eastAsia="Times New Roman"/>
          <w:lang w:val="es"/>
        </w:rPr>
        <w:t>Las operaciones con cambios sustanciales en su producción pueden requerir retener productos producidos bajo estos procedimientos cambiados, pendientes de revisión por QCS.</w:t>
      </w:r>
    </w:p>
    <w:p w14:paraId="621FFC05" w14:textId="12D40733" w:rsidR="227E1361" w:rsidRDefault="227E1361" w:rsidP="00337BBD">
      <w:pPr>
        <w:spacing w:line="240" w:lineRule="auto"/>
        <w:rPr>
          <w:rFonts w:eastAsia="Times New Roman"/>
          <w:lang w:val="es"/>
        </w:rPr>
      </w:pPr>
      <w:r w:rsidRPr="00FE7F19">
        <w:rPr>
          <w:rFonts w:eastAsia="Times New Roman"/>
          <w:lang w:val="es"/>
        </w:rPr>
        <w:t>Los clientes son responsables de los costos incurridos por estos servicios. Una vez otorgada la modificación, se envía al cliente un aviso de la decisión de certificación.</w:t>
      </w:r>
    </w:p>
    <w:p w14:paraId="66D7BFF9" w14:textId="2DAA83D0" w:rsidR="00A000E2" w:rsidRDefault="00A000E2" w:rsidP="007C4F17">
      <w:pPr>
        <w:pStyle w:val="Heading2"/>
        <w:rPr>
          <w:lang w:val="es"/>
        </w:rPr>
      </w:pPr>
      <w:r>
        <w:rPr>
          <w:lang w:val="es"/>
        </w:rPr>
        <w:t>Retiro voluntario / Cancelación de la Certificación</w:t>
      </w:r>
    </w:p>
    <w:bookmarkEnd w:id="70"/>
    <w:bookmarkEnd w:id="71"/>
    <w:bookmarkEnd w:id="72"/>
    <w:p w14:paraId="4BC2DE59" w14:textId="3AE1256A" w:rsidR="005365C0" w:rsidRPr="0093241F" w:rsidRDefault="227E1361" w:rsidP="007C4F17">
      <w:pPr>
        <w:pStyle w:val="Heading3"/>
      </w:pPr>
      <w:r w:rsidRPr="00FE7F19">
        <w:t>Renunci</w:t>
      </w:r>
      <w:r w:rsidR="00545FF4">
        <w:t>o</w:t>
      </w:r>
      <w:r w:rsidRPr="00FE7F19">
        <w:t xml:space="preserve"> </w:t>
      </w:r>
      <w:r w:rsidR="00545FF4">
        <w:t xml:space="preserve">de </w:t>
      </w:r>
      <w:r w:rsidRPr="00FE7F19">
        <w:t>la certificación: NOP y OPT</w:t>
      </w:r>
      <w:r w:rsidR="00C2598D">
        <w:t xml:space="preserve"> </w:t>
      </w:r>
      <w:r w:rsidRPr="227E1361">
        <w:t>Ganado Orgánico Alimentado con Pasto</w:t>
      </w:r>
    </w:p>
    <w:p w14:paraId="7ADDCAA4" w14:textId="6B25E915" w:rsidR="00781202" w:rsidRDefault="227E1361" w:rsidP="00337BBD">
      <w:pPr>
        <w:rPr>
          <w:rFonts w:eastAsia="Times New Roman"/>
        </w:rPr>
      </w:pPr>
      <w:r w:rsidRPr="227E1361">
        <w:rPr>
          <w:rFonts w:eastAsia="Times New Roman"/>
        </w:rPr>
        <w:t xml:space="preserve">En cualquier momento, una operación certificada puede </w:t>
      </w:r>
      <w:r w:rsidR="00630359">
        <w:rPr>
          <w:rFonts w:eastAsia="Times New Roman"/>
        </w:rPr>
        <w:t>retirar</w:t>
      </w:r>
      <w:r w:rsidRPr="227E1361">
        <w:rPr>
          <w:rFonts w:eastAsia="Times New Roman"/>
        </w:rPr>
        <w:t xml:space="preserve">/renunciar a su certificación orgánica mediante notificación escrita. La operación debe cesar todas las reclamaciones del logotipo y el nombre de QCS, destruir o devolver todos los certificados, etiquetas y material de mercadeo y publicidad que contengan referencias de QCS según el Certificado de QCS y el Contrato de Licencia de Marca, y son responsables de los costos de los servicios prestados hasta el momento de la renuncia. QCS reconoce </w:t>
      </w:r>
      <w:r w:rsidR="00545FF4">
        <w:rPr>
          <w:rFonts w:eastAsia="Times New Roman"/>
        </w:rPr>
        <w:t xml:space="preserve">el renuncio </w:t>
      </w:r>
      <w:r w:rsidRPr="227E1361">
        <w:rPr>
          <w:rFonts w:eastAsia="Times New Roman"/>
        </w:rPr>
        <w:t xml:space="preserve">de la certificación </w:t>
      </w:r>
      <w:r w:rsidR="00545FF4">
        <w:rPr>
          <w:rFonts w:eastAsia="Times New Roman"/>
        </w:rPr>
        <w:t>por escrito</w:t>
      </w:r>
      <w:r w:rsidRPr="227E1361">
        <w:rPr>
          <w:rFonts w:eastAsia="Times New Roman"/>
        </w:rPr>
        <w:t>.</w:t>
      </w:r>
      <w:r w:rsidR="00781202">
        <w:rPr>
          <w:rFonts w:eastAsia="Times New Roman"/>
        </w:rPr>
        <w:t xml:space="preserve"> </w:t>
      </w:r>
      <w:r w:rsidRPr="227E1361">
        <w:rPr>
          <w:rFonts w:eastAsia="Times New Roman"/>
        </w:rPr>
        <w:t xml:space="preserve">Para las renuncias bajo NOP, QCS </w:t>
      </w:r>
      <w:r w:rsidR="00B86544">
        <w:rPr>
          <w:rFonts w:eastAsia="Times New Roman"/>
        </w:rPr>
        <w:t xml:space="preserve">actualiza </w:t>
      </w:r>
      <w:r w:rsidR="00875EF1">
        <w:rPr>
          <w:rFonts w:eastAsia="Times New Roman"/>
        </w:rPr>
        <w:t>el esta</w:t>
      </w:r>
      <w:r w:rsidR="00F06F96">
        <w:rPr>
          <w:rFonts w:eastAsia="Times New Roman"/>
        </w:rPr>
        <w:t>do</w:t>
      </w:r>
      <w:r w:rsidR="00875EF1">
        <w:rPr>
          <w:rFonts w:eastAsia="Times New Roman"/>
        </w:rPr>
        <w:t xml:space="preserve"> de la certificación del operador en la base de datos</w:t>
      </w:r>
      <w:r w:rsidR="00346D65">
        <w:rPr>
          <w:rFonts w:eastAsia="Times New Roman"/>
        </w:rPr>
        <w:t xml:space="preserve"> </w:t>
      </w:r>
      <w:r w:rsidR="00713783">
        <w:rPr>
          <w:rFonts w:eastAsia="Times New Roman"/>
        </w:rPr>
        <w:t>de integridad orgánica (Organic Integrity Database, OID)</w:t>
      </w:r>
      <w:r w:rsidRPr="227E1361">
        <w:rPr>
          <w:rFonts w:eastAsia="Times New Roman"/>
        </w:rPr>
        <w:t xml:space="preserve">. </w:t>
      </w:r>
    </w:p>
    <w:p w14:paraId="007DC2A4" w14:textId="54E1F0C0" w:rsidR="00663865" w:rsidRPr="00C34CF2" w:rsidRDefault="227E1361" w:rsidP="00337BBD">
      <w:pPr>
        <w:rPr>
          <w:rFonts w:eastAsia="Calibri"/>
          <w:lang w:val="es-ES"/>
        </w:rPr>
      </w:pPr>
      <w:r w:rsidRPr="227E1361">
        <w:rPr>
          <w:rFonts w:eastAsia="Times New Roman"/>
        </w:rPr>
        <w:t>QCS acepta todas las solicitudes de renuncia; sin embargo, las operaciones que se han renunciado pueden estar sujetas a incumplimiento y acciones adversas que deben corregirse antes de cualquier certificación orgánica futura. Si las acciones adversas propuestas conducen a la suspensión de la certificación, la operación también deberá buscar el restablecimiento antes de la certificación con NOP</w:t>
      </w:r>
      <w:r w:rsidRPr="227E1361">
        <w:rPr>
          <w:rFonts w:eastAsia="Calibri"/>
        </w:rPr>
        <w:t xml:space="preserve">. </w:t>
      </w:r>
    </w:p>
    <w:p w14:paraId="012E90EC" w14:textId="772F69C9" w:rsidR="227E1361" w:rsidRPr="00FE7F19" w:rsidRDefault="227E1361" w:rsidP="007C4F17">
      <w:pPr>
        <w:pStyle w:val="Heading3"/>
        <w:rPr>
          <w:lang w:val="es"/>
        </w:rPr>
      </w:pPr>
      <w:r w:rsidRPr="00FE7F19">
        <w:rPr>
          <w:lang w:val="es"/>
        </w:rPr>
        <w:t>Cancelación y Expiración de la Certificación – UE</w:t>
      </w:r>
    </w:p>
    <w:p w14:paraId="162BB1D7" w14:textId="42D32945" w:rsidR="227E1361" w:rsidRDefault="227E1361" w:rsidP="00337BBD">
      <w:pPr>
        <w:spacing w:line="240" w:lineRule="auto"/>
        <w:rPr>
          <w:rFonts w:eastAsia="Times New Roman"/>
          <w:lang w:val="es"/>
        </w:rPr>
      </w:pPr>
      <w:r w:rsidRPr="00FE7F19">
        <w:rPr>
          <w:rFonts w:eastAsia="Times New Roman"/>
          <w:lang w:val="es"/>
        </w:rPr>
        <w:t>Los operadores pueden cancelar voluntariamente la certificación orgánica en cualquier momento. La certificación puede ser cancelada por QCS cuando el certificado orgánico de la UE expire debido a que la operación no presentó una actualización an</w:t>
      </w:r>
      <w:r w:rsidRPr="002D2DE6">
        <w:t xml:space="preserve">ual. Los operadores cuyo certificado haya sido cancelado o expirado no pueden representar ningún </w:t>
      </w:r>
      <w:r w:rsidR="002D2DE6" w:rsidRPr="002D2DE6">
        <w:t>producto</w:t>
      </w:r>
      <w:r w:rsidRPr="00FE7F19">
        <w:rPr>
          <w:rFonts w:eastAsia="Times New Roman"/>
          <w:lang w:val="es"/>
        </w:rPr>
        <w:t xml:space="preserve"> producido o en inventario en la fecha de cancelación o expiración como orgánico.</w:t>
      </w:r>
    </w:p>
    <w:p w14:paraId="5D53BCEF" w14:textId="0839C9D9" w:rsidR="00EF2CE3" w:rsidRPr="008D09C4" w:rsidRDefault="227E1361" w:rsidP="007C4F17">
      <w:pPr>
        <w:pStyle w:val="Heading3"/>
        <w:rPr>
          <w:lang w:val="es-ES"/>
        </w:rPr>
      </w:pPr>
      <w:bookmarkStart w:id="76" w:name="_Toc500935060"/>
      <w:r w:rsidRPr="227E1361">
        <w:lastRenderedPageBreak/>
        <w:t>Retiro Voluntario</w:t>
      </w:r>
      <w:r w:rsidR="001A2C21">
        <w:t xml:space="preserve"> – </w:t>
      </w:r>
      <w:r w:rsidRPr="227E1361">
        <w:t>COR</w:t>
      </w:r>
    </w:p>
    <w:p w14:paraId="20B894C5" w14:textId="126626B8" w:rsidR="227E1361" w:rsidRDefault="227E1361" w:rsidP="3053755D">
      <w:pPr>
        <w:rPr>
          <w:rFonts w:eastAsia="Times New Roman"/>
          <w:lang w:val="es-ES"/>
        </w:rPr>
      </w:pPr>
      <w:r w:rsidRPr="3053755D">
        <w:rPr>
          <w:rFonts w:eastAsia="Times New Roman"/>
          <w:lang w:val="es-ES"/>
        </w:rPr>
        <w:t xml:space="preserve">En caso de retiro voluntario por parte del operador, QCS sigue la cláusula 350(3) de los requisitos del Reglamento de Alimentos Seguros para </w:t>
      </w:r>
      <w:proofErr w:type="gramStart"/>
      <w:r w:rsidRPr="3053755D">
        <w:rPr>
          <w:rFonts w:eastAsia="Times New Roman"/>
          <w:lang w:val="es-ES"/>
        </w:rPr>
        <w:t>Canadienses</w:t>
      </w:r>
      <w:proofErr w:type="gramEnd"/>
      <w:r w:rsidRPr="3053755D">
        <w:rPr>
          <w:rFonts w:eastAsia="Times New Roman"/>
          <w:lang w:val="es-ES"/>
        </w:rPr>
        <w:t xml:space="preserve"> (SFCR) para la cancelación.</w:t>
      </w:r>
    </w:p>
    <w:p w14:paraId="109427E0" w14:textId="6C9145E5" w:rsidR="00B0026A" w:rsidRPr="008D09C4" w:rsidRDefault="00B0026A" w:rsidP="00B0026A">
      <w:pPr>
        <w:pStyle w:val="Heading3"/>
        <w:rPr>
          <w:lang w:val="es-ES"/>
        </w:rPr>
      </w:pPr>
      <w:r w:rsidRPr="227E1361">
        <w:t>Retiro Voluntario</w:t>
      </w:r>
      <w:r>
        <w:t xml:space="preserve"> – </w:t>
      </w:r>
      <w:r w:rsidRPr="227E1361">
        <w:t>C</w:t>
      </w:r>
      <w:r w:rsidR="007B0438">
        <w:t>ARTV</w:t>
      </w:r>
    </w:p>
    <w:p w14:paraId="70EFF596" w14:textId="70347E2C" w:rsidR="00B0026A" w:rsidRDefault="00B0026A" w:rsidP="00337BBD">
      <w:pPr>
        <w:rPr>
          <w:rFonts w:eastAsia="Times New Roman"/>
          <w:lang w:val="es"/>
        </w:rPr>
      </w:pPr>
      <w:r w:rsidRPr="00FE7F19">
        <w:rPr>
          <w:rFonts w:eastAsia="Times New Roman"/>
          <w:lang w:val="es"/>
        </w:rPr>
        <w:t xml:space="preserve">En </w:t>
      </w:r>
      <w:r w:rsidR="007376D1">
        <w:rPr>
          <w:rFonts w:eastAsia="Times New Roman"/>
          <w:lang w:val="es"/>
        </w:rPr>
        <w:t>case de retiro voluntario</w:t>
      </w:r>
      <w:r w:rsidR="0076179C">
        <w:rPr>
          <w:rFonts w:eastAsia="Times New Roman"/>
          <w:lang w:val="es"/>
        </w:rPr>
        <w:t xml:space="preserve"> por parte del operador, QCS sigue la cl</w:t>
      </w:r>
      <w:r w:rsidR="0076179C" w:rsidRPr="00FE7F19">
        <w:rPr>
          <w:rFonts w:eastAsia="Times New Roman"/>
          <w:lang w:val="es"/>
        </w:rPr>
        <w:t>á</w:t>
      </w:r>
      <w:r w:rsidR="0076179C">
        <w:rPr>
          <w:rFonts w:eastAsia="Times New Roman"/>
          <w:lang w:val="es"/>
        </w:rPr>
        <w:t xml:space="preserve">usula </w:t>
      </w:r>
      <w:r w:rsidR="004F169C">
        <w:rPr>
          <w:rFonts w:eastAsia="Times New Roman"/>
          <w:lang w:val="es"/>
        </w:rPr>
        <w:t>3.1.5 del Manual de</w:t>
      </w:r>
      <w:r w:rsidR="00087B99">
        <w:rPr>
          <w:rFonts w:eastAsia="Times New Roman"/>
          <w:lang w:val="es"/>
        </w:rPr>
        <w:t xml:space="preserve"> especificaciones que regula el uso d</w:t>
      </w:r>
      <w:r w:rsidR="008F04ED">
        <w:rPr>
          <w:rFonts w:eastAsia="Times New Roman"/>
          <w:lang w:val="es"/>
        </w:rPr>
        <w:t xml:space="preserve">e la </w:t>
      </w:r>
      <w:r w:rsidR="008F04ED" w:rsidRPr="008F04ED">
        <w:rPr>
          <w:rFonts w:eastAsia="Times New Roman"/>
          <w:lang w:val="es"/>
        </w:rPr>
        <w:t xml:space="preserve">denominación </w:t>
      </w:r>
      <w:r w:rsidR="008F04ED">
        <w:rPr>
          <w:rFonts w:eastAsia="Times New Roman"/>
          <w:lang w:val="es"/>
        </w:rPr>
        <w:t>“</w:t>
      </w:r>
      <w:r w:rsidR="008F04ED" w:rsidRPr="008F04ED">
        <w:rPr>
          <w:rFonts w:eastAsia="Times New Roman"/>
          <w:lang w:val="es"/>
        </w:rPr>
        <w:t>orgánico</w:t>
      </w:r>
      <w:r w:rsidR="008F04ED">
        <w:rPr>
          <w:rFonts w:eastAsia="Times New Roman"/>
          <w:lang w:val="es"/>
        </w:rPr>
        <w:t>”</w:t>
      </w:r>
      <w:r w:rsidR="008F04ED" w:rsidRPr="008F04ED">
        <w:rPr>
          <w:rFonts w:eastAsia="Times New Roman"/>
          <w:lang w:val="es"/>
        </w:rPr>
        <w:t xml:space="preserve"> en Quebec</w:t>
      </w:r>
      <w:r w:rsidR="008F04ED">
        <w:rPr>
          <w:rFonts w:eastAsia="Times New Roman"/>
          <w:lang w:val="es"/>
        </w:rPr>
        <w:t>.</w:t>
      </w:r>
    </w:p>
    <w:p w14:paraId="57BDAB3D" w14:textId="77777777" w:rsidR="00DF3412" w:rsidRDefault="00DF3412" w:rsidP="00337BBD">
      <w:pPr>
        <w:rPr>
          <w:rFonts w:eastAsia="Times New Roman"/>
          <w:lang w:val="es"/>
        </w:rPr>
      </w:pPr>
    </w:p>
    <w:p w14:paraId="51478E34" w14:textId="77777777" w:rsidR="00D849E2" w:rsidRDefault="00D849E2" w:rsidP="00337BBD">
      <w:pPr>
        <w:rPr>
          <w:rFonts w:eastAsia="Times New Roman"/>
          <w:lang w:val="es"/>
        </w:rPr>
      </w:pPr>
    </w:p>
    <w:bookmarkEnd w:id="76"/>
    <w:p w14:paraId="5935A329" w14:textId="0E7B2E5B" w:rsidR="008D09C4" w:rsidRPr="008D09C4" w:rsidRDefault="00FC4DF9" w:rsidP="007C4F17">
      <w:pPr>
        <w:pStyle w:val="Heading2"/>
        <w:rPr>
          <w:lang w:val="es-ES"/>
        </w:rPr>
      </w:pPr>
      <w:r w:rsidRPr="227E1361">
        <w:t>Variaci</w:t>
      </w:r>
      <w:r w:rsidR="00A74D18">
        <w:t>ones y Derogaciones / Excepciones</w:t>
      </w:r>
    </w:p>
    <w:p w14:paraId="48D3FF1A" w14:textId="36C969FE" w:rsidR="004C05D5" w:rsidRPr="000C0179" w:rsidRDefault="227E1361" w:rsidP="007C4F17">
      <w:pPr>
        <w:pStyle w:val="Heading3"/>
        <w:rPr>
          <w:lang w:val="es-ES"/>
        </w:rPr>
      </w:pPr>
      <w:r w:rsidRPr="227E1361">
        <w:t>Variación Temporal – NOP</w:t>
      </w:r>
    </w:p>
    <w:p w14:paraId="42105AE3" w14:textId="4357A7B8" w:rsidR="009F3D89" w:rsidRPr="008D09C4" w:rsidRDefault="009F3D89" w:rsidP="009F3D89">
      <w:pPr>
        <w:rPr>
          <w:rFonts w:eastAsia="Calibri"/>
          <w:lang w:val="es-ES"/>
        </w:rPr>
      </w:pPr>
      <w:r>
        <w:t xml:space="preserve">La organización gubernamental pertinente puede emitir variaciones temporales en casos de desastres naturales (es decir, causados por sequías, vientos, incendios, inundaciones, humedad excesiva, granizo, tornados, terremotos u otras interrupciones comerciales, o con el fin de realizar investigaciones en producción orgánica o manejo). Para obtener una lista de variaciones temporales caducadas, visite </w:t>
      </w:r>
      <w:hyperlink r:id="rId64" w:history="1">
        <w:r>
          <w:rPr>
            <w:rStyle w:val="Hyperlink"/>
            <w:rFonts w:asciiTheme="minorHAnsi" w:hAnsiTheme="minorHAnsi" w:cstheme="minorBidi"/>
          </w:rPr>
          <w:t>la página del USDA NOP</w:t>
        </w:r>
      </w:hyperlink>
      <w:r>
        <w:t xml:space="preserve">. </w:t>
      </w:r>
    </w:p>
    <w:p w14:paraId="54944200" w14:textId="7E40E74C" w:rsidR="005E231C" w:rsidRPr="004C05D5" w:rsidRDefault="227E1361" w:rsidP="00337BBD">
      <w:pPr>
        <w:rPr>
          <w:lang w:val="es-ES"/>
        </w:rPr>
      </w:pPr>
      <w:r w:rsidRPr="227E1361">
        <w:rPr>
          <w:rFonts w:eastAsia="Calibri"/>
        </w:rPr>
        <w:t xml:space="preserve">Las operaciones que soliciten una variación temporal deben presentar su solicitud por escrito junto con la justificación basada en la cita reglamentaria apropiada junto con la documentación de respaldo, como artículos de noticias o registros relacionados. Los procedimientos para solicitar variaciones temporales se describen en NOP 2606: Procesamiento de solicitudes de variaciones temporales. 7 CFR Sección 205.290 proporciona el texto reglamentario completo con respecto a las variaciones temporales. La lista de variaciones temporales que están actualmente vigentes o que fueron denegadas en 2017 se enumeran en </w:t>
      </w:r>
      <w:hyperlink r:id="rId65">
        <w:r w:rsidR="001A2C21">
          <w:rPr>
            <w:rStyle w:val="Hyperlink"/>
            <w:rFonts w:asciiTheme="minorHAnsi" w:hAnsiTheme="minorHAnsi" w:cstheme="minorBidi"/>
          </w:rPr>
          <w:t>la página del USDA NOP - lista de variaciones temporales vigentes o denegadas</w:t>
        </w:r>
      </w:hyperlink>
      <w:r>
        <w:t>.</w:t>
      </w:r>
    </w:p>
    <w:p w14:paraId="7033EE0D" w14:textId="44DE05F6" w:rsidR="000D4C1B" w:rsidRPr="000D4C1B" w:rsidRDefault="227E1361" w:rsidP="00337BBD">
      <w:pPr>
        <w:rPr>
          <w:rFonts w:eastAsia="Calibri"/>
          <w:lang w:val="es-ES"/>
        </w:rPr>
      </w:pPr>
      <w:r w:rsidRPr="227E1361">
        <w:rPr>
          <w:rFonts w:eastAsia="Calibri"/>
        </w:rPr>
        <w:t>QCS envía la solicitud de variación temporal en nombre de los clientes de QCS al NOP dentro de los 10 días hábiles posteriores a la recepción de una solicitud completa. Las operaciones no deben realizar ningún cambio en las secciones relacionadas de su P</w:t>
      </w:r>
      <w:r w:rsidR="00F6655F">
        <w:rPr>
          <w:rFonts w:eastAsia="Calibri"/>
        </w:rPr>
        <w:t>S</w:t>
      </w:r>
      <w:r w:rsidRPr="227E1361">
        <w:rPr>
          <w:rFonts w:eastAsia="Calibri"/>
        </w:rPr>
        <w:t>O o prácticas hasta que el NOP les notifique por escrito que se otorga la variación temporal. Si la operación cambia su P</w:t>
      </w:r>
      <w:r w:rsidR="00F6655F">
        <w:rPr>
          <w:rFonts w:eastAsia="Calibri"/>
        </w:rPr>
        <w:t>S</w:t>
      </w:r>
      <w:r w:rsidRPr="227E1361">
        <w:rPr>
          <w:rFonts w:eastAsia="Calibri"/>
        </w:rPr>
        <w:t>O o sus prácticas antes de recibir la aprobación de la variación temporal, QCS emite a la operación un Notificación de incumplimiento.</w:t>
      </w:r>
    </w:p>
    <w:p w14:paraId="251D1CB3" w14:textId="25F054CA" w:rsidR="00005B67" w:rsidRPr="000D4C1B" w:rsidRDefault="0035235B" w:rsidP="00337BBD">
      <w:pPr>
        <w:rPr>
          <w:rFonts w:eastAsia="Calibri"/>
          <w:lang w:val="es-ES"/>
        </w:rPr>
      </w:pPr>
      <w:r>
        <w:rPr>
          <w:rFonts w:eastAsia="Calibri"/>
        </w:rPr>
        <w:t>La</w:t>
      </w:r>
      <w:r w:rsidR="227E1361" w:rsidRPr="227E1361">
        <w:rPr>
          <w:rFonts w:eastAsia="Calibri"/>
        </w:rPr>
        <w:t xml:space="preserve"> NOP no aprueba las siguientes solicitudes de variación temporal; Desviaciones para el uso de materiales prohibidos bajo 205.105, y Desviaciones para alimentar al ganado con alimentos no orgánicos.</w:t>
      </w:r>
    </w:p>
    <w:p w14:paraId="05ABA6B1" w14:textId="222AA57E" w:rsidR="00D045ED" w:rsidRPr="00B636FA" w:rsidRDefault="00D045ED" w:rsidP="007C4F17">
      <w:pPr>
        <w:pStyle w:val="Heading3"/>
      </w:pPr>
      <w:r w:rsidRPr="227E1361">
        <w:t>Varianza</w:t>
      </w:r>
      <w:r w:rsidR="00C16D5A">
        <w:t xml:space="preserve"> </w:t>
      </w:r>
      <w:r w:rsidRPr="227E1361">
        <w:t>- OPT</w:t>
      </w:r>
      <w:r>
        <w:t xml:space="preserve"> </w:t>
      </w:r>
      <w:r w:rsidRPr="227E1361">
        <w:t>Ganado Orgánico Alimentado con Pasto</w:t>
      </w:r>
    </w:p>
    <w:p w14:paraId="252698A3" w14:textId="77777777" w:rsidR="00D045ED" w:rsidRDefault="00D045ED" w:rsidP="002D2DE6">
      <w:pPr>
        <w:rPr>
          <w:lang w:val="es"/>
        </w:rPr>
      </w:pPr>
      <w:r w:rsidRPr="00FE7F19">
        <w:rPr>
          <w:lang w:val="es"/>
        </w:rPr>
        <w:t>Cualquier operación OPT Certificada de Ganado Alimentado con Pasto o cuerpo de certificación acreditado puede solicitar al gerente del programa OPT una varianza de cualquier estándar del programa en hechos específicos para esa parte o según se aplique a cada operación certificada afectada por el estándar al que se dirige la solicitud de varianza. Las solicitudes de varianza requieren la presentación de evidencia clara y convincente de la necesidad de la varianza y deben seguir el proceso establecido en la Guía NOP No. 2606.</w:t>
      </w:r>
    </w:p>
    <w:p w14:paraId="6742B877" w14:textId="7A5177B7" w:rsidR="00D045ED" w:rsidRDefault="006C1EA7" w:rsidP="000874C8">
      <w:pPr>
        <w:pStyle w:val="Heading3"/>
        <w:rPr>
          <w:lang w:val="es"/>
        </w:rPr>
      </w:pPr>
      <w:r>
        <w:rPr>
          <w:lang w:val="es"/>
        </w:rPr>
        <w:lastRenderedPageBreak/>
        <w:t xml:space="preserve">Derogaciones y excepciones </w:t>
      </w:r>
      <w:r w:rsidR="00EE5642">
        <w:rPr>
          <w:lang w:val="es"/>
        </w:rPr>
        <w:t>bajo Reglamento (UE) 2018/848</w:t>
      </w:r>
    </w:p>
    <w:p w14:paraId="717BCD36" w14:textId="5B143162" w:rsidR="006C1EA7" w:rsidRPr="006F6F8E" w:rsidRDefault="006F6F8E" w:rsidP="006C1EA7">
      <w:r w:rsidRPr="00FE7F19">
        <w:rPr>
          <w:lang w:val="es"/>
        </w:rPr>
        <w:t>Las derogaciones permiten flexibilidad con un estándar bajo restricción clara de criterios, controles, transparencia y comprensión de las razones y efectos de las medidas de flexibilidad.</w:t>
      </w:r>
    </w:p>
    <w:p w14:paraId="77179CD0" w14:textId="28004B9B" w:rsidR="227E1361" w:rsidRDefault="227E1361" w:rsidP="000874C8">
      <w:pPr>
        <w:pStyle w:val="Heading4"/>
        <w:rPr>
          <w:rFonts w:eastAsia="Calibri"/>
          <w:lang w:val="es"/>
        </w:rPr>
      </w:pPr>
      <w:r w:rsidRPr="00FE7F19">
        <w:rPr>
          <w:lang w:val="es"/>
        </w:rPr>
        <w:t xml:space="preserve">Derogaciones bajo circunstancias catastróficas </w:t>
      </w:r>
      <w:r w:rsidR="00D045ED">
        <w:rPr>
          <w:lang w:val="es"/>
        </w:rPr>
        <w:t>–</w:t>
      </w:r>
      <w:r w:rsidRPr="00FE7F19">
        <w:rPr>
          <w:lang w:val="es"/>
        </w:rPr>
        <w:t xml:space="preserve"> UE</w:t>
      </w:r>
    </w:p>
    <w:p w14:paraId="453258A1" w14:textId="42608FD1" w:rsidR="227E1361" w:rsidRPr="00FE7F19" w:rsidRDefault="227E1361" w:rsidP="3053755D">
      <w:pPr>
        <w:rPr>
          <w:lang w:val="es-ES"/>
        </w:rPr>
      </w:pPr>
      <w:r w:rsidRPr="3053755D">
        <w:rPr>
          <w:lang w:val="es-ES"/>
        </w:rPr>
        <w:t xml:space="preserve">El operador que solicite derogaciones especificadas en el Artículo 3 </w:t>
      </w:r>
      <w:r w:rsidR="003655E2" w:rsidRPr="3053755D">
        <w:rPr>
          <w:lang w:val="es-ES"/>
        </w:rPr>
        <w:t>del Reglamento (UE)</w:t>
      </w:r>
      <w:r w:rsidRPr="3053755D">
        <w:rPr>
          <w:lang w:val="es-ES"/>
        </w:rPr>
        <w:t xml:space="preserve"> 2020/2146 debido a una circunstancia catastrófica según el Artículo 45(3) </w:t>
      </w:r>
      <w:r w:rsidR="003655E2" w:rsidRPr="3053755D">
        <w:rPr>
          <w:lang w:val="es-ES"/>
        </w:rPr>
        <w:t>del Reglamento (UE)</w:t>
      </w:r>
      <w:r w:rsidRPr="3053755D">
        <w:rPr>
          <w:lang w:val="es-ES"/>
        </w:rPr>
        <w:t xml:space="preserve"> 2018/848 debe presentar su solicitud por escrito e incluir una declaración emitida por las autoridades pertinentes del tercer país en el que ocurre la situación, si está disponible, u otros datos proporcionados por organizaciones oficiales que justifiquen las circunstancias catastróficas. QCS notificará al operador por escrito la decisión de si se concede la derogación, incluyendo las condiciones que aplican, incluyendo: el período de la derogación (en ningún caso superior a 12 meses) después del cual el operador debe reanudar la producción orgánica tal como se llevó a cabo antes de la aplicación de derogaciones; los tipos de producción afectados; las parcelas de tierra afectadas (si corresponde); y el operador individual o el miembro del grupo de operadores afectados. La aplicación de la(s) derogación(es) no afectará la validez del certificado orgánico de la UE durante el período en que se apliquen las derogaciones, siempre que el operador cumpla con las condiciones bajo las cuales se otorgaron las derogaciones. QCS notificará a la Comisión y a su organismo de acreditación todas las derogaciones otorgadas, incluyendo el nombre del operador o operadores afectados, el período de tiempo para la derogación, el tipo de producción o, si corresponde, las parcelas de tierra, y la justificación para la derogación, incluyendo la declaración de la autoridad pertinente del tercer país o los datos relevantes en los que se basa el reconocimiento.</w:t>
      </w:r>
    </w:p>
    <w:p w14:paraId="1FFA3511" w14:textId="4CBADFF4" w:rsidR="227E1361" w:rsidRPr="00FE7F19" w:rsidRDefault="227E1361" w:rsidP="000874C8">
      <w:pPr>
        <w:pStyle w:val="Heading4"/>
        <w:rPr>
          <w:lang w:val="es"/>
        </w:rPr>
      </w:pPr>
      <w:bookmarkStart w:id="77" w:name="_Toc500935061"/>
      <w:r w:rsidRPr="00FE7F19">
        <w:rPr>
          <w:lang w:val="es"/>
        </w:rPr>
        <w:t>Uso de Material Vegetal No Orgánico – Requisitos de</w:t>
      </w:r>
      <w:r w:rsidR="003655E2">
        <w:rPr>
          <w:lang w:val="es"/>
        </w:rPr>
        <w:t xml:space="preserve">l Reglamento </w:t>
      </w:r>
      <w:r w:rsidRPr="00FE7F19">
        <w:rPr>
          <w:lang w:val="es"/>
        </w:rPr>
        <w:t>(UE) 2018/848</w:t>
      </w:r>
    </w:p>
    <w:p w14:paraId="65C8AEBF" w14:textId="74F1F7E0" w:rsidR="227E1361" w:rsidRDefault="227E1361" w:rsidP="002D2DE6">
      <w:pPr>
        <w:rPr>
          <w:lang w:val="es"/>
        </w:rPr>
      </w:pPr>
      <w:r w:rsidRPr="00FE7F19">
        <w:rPr>
          <w:lang w:val="es"/>
        </w:rPr>
        <w:t xml:space="preserve">Por derogación del punto 1.8.1 del Anexo II del </w:t>
      </w:r>
      <w:r w:rsidR="003655E2">
        <w:rPr>
          <w:lang w:val="es"/>
        </w:rPr>
        <w:t>Reglamento (UE)</w:t>
      </w:r>
      <w:r w:rsidRPr="00FE7F19">
        <w:rPr>
          <w:lang w:val="es"/>
        </w:rPr>
        <w:t xml:space="preserve"> 2018/848, los operadores en terceros países pueden usar material reproductivo vegetal no orgánico autorizado de acuerdo con el punto 1.8.6 cuando se justifique que el material reproductivo vegetal orgánico no está disponible en cantidad o calidad suficiente en el territorio del tercer país en el que se encuentra el operador. Cuando el material reproductivo vegetal orgánico o en conversión no esté disponible en cantidad o calidad suficiente, la operación debe obtener una autorización por escrito de QCS para usar material reproductivo vegetal no orgánico para cada cultivo o cultivo de cobertura antes de la siembra o plantación del cultivo. La autorización solo es válida por una temporada a la vez. Se puede emitir un incumplimiento (y las medidas acompañantes aplicables del catálogo de sanciones) a los operadores que usen material reproductivo vegetal no orgánico sin autorización escrita. QCS evalúa la evidencia que la operación presenta en la solicitud de uso de material reproductivo vegetal no orgánico, y QCS toma una decisión de aprobar o negar la solicitud. No se pueden autorizar solicitudes de uso de plántulas anuales no orgánicas cuyo cultivo se complete en una temporada de crecimiento.</w:t>
      </w:r>
    </w:p>
    <w:p w14:paraId="6154BFF4" w14:textId="1EAEB847" w:rsidR="227E1361" w:rsidRDefault="227E1361" w:rsidP="000874C8">
      <w:pPr>
        <w:pStyle w:val="Heading4"/>
        <w:rPr>
          <w:lang w:val="es"/>
        </w:rPr>
      </w:pPr>
      <w:r w:rsidRPr="00FE7F19">
        <w:rPr>
          <w:lang w:val="es"/>
        </w:rPr>
        <w:t>Reconocimiento Retroactivo – UE</w:t>
      </w:r>
    </w:p>
    <w:bookmarkEnd w:id="77"/>
    <w:p w14:paraId="221F2AAD" w14:textId="26770697" w:rsidR="227E1361" w:rsidRPr="00FE7F19" w:rsidRDefault="227E1361" w:rsidP="002D2DE6">
      <w:pPr>
        <w:rPr>
          <w:lang w:val="es"/>
        </w:rPr>
      </w:pPr>
      <w:r w:rsidRPr="00FE7F19">
        <w:rPr>
          <w:lang w:val="es"/>
        </w:rPr>
        <w:t>Ningún período anterior puede ser reconocido retroactivamente como parte del período de conversión, excepto cuando el operador pueda proporcionar prueba de que las parcelas de tierra eran áreas naturales o agrícolas que, durante un período de al menos tres años, no han sido tratadas con productos o sustancias que no están autorizados para uso en producción orgánica</w:t>
      </w:r>
      <w:r w:rsidR="008B437A" w:rsidRPr="005360A0">
        <w:rPr>
          <w:rStyle w:val="FootnoteReference"/>
          <w:rFonts w:asciiTheme="minorHAnsi" w:hAnsiTheme="minorHAnsi" w:cstheme="minorHAnsi"/>
          <w:lang w:val="es"/>
        </w:rPr>
        <w:footnoteReference w:id="29"/>
      </w:r>
      <w:r w:rsidRPr="00FE7F19">
        <w:rPr>
          <w:lang w:val="es"/>
        </w:rPr>
        <w:t xml:space="preserve">. El reconocimiento retroactivo no </w:t>
      </w:r>
      <w:r w:rsidRPr="00FE7F19">
        <w:rPr>
          <w:lang w:val="es"/>
        </w:rPr>
        <w:lastRenderedPageBreak/>
        <w:t>es necesario para ninguna tierra que actualmente esté certificada y en buen estado según el estándar orgánico relevante.</w:t>
      </w:r>
    </w:p>
    <w:p w14:paraId="36878D93" w14:textId="748BBCF6" w:rsidR="227E1361" w:rsidRDefault="227E1361" w:rsidP="002D2DE6">
      <w:pPr>
        <w:rPr>
          <w:lang w:val="es"/>
        </w:rPr>
      </w:pPr>
      <w:r w:rsidRPr="00FE7F19">
        <w:rPr>
          <w:lang w:val="es"/>
        </w:rPr>
        <w:t>El operador puede solicitar reconocimiento retroactivo para períodos de uno, dos o tres años en los cuales el año completo (12 meses) sea elegible. El solicitante debe haber tenido control de gestión de la parcela durante todo el período que solicita reconocimiento retroactivo, excepto si la parcela estaba previamente certificada como orgánica según el estándar relevante bajo un operador diferente. En tales casos, QCS debe verificar con el certificador anterior que la certificación de esa parcela no fue suspendida o retirada debido a la aplicación o contaminación por sustancias no autorizadas y el operador actual debe proporcionar evidencia documental de que han tenido control de gestión durante todo el período desde que terminó la certificación.</w:t>
      </w:r>
    </w:p>
    <w:p w14:paraId="0AEDE582" w14:textId="62D591D7" w:rsidR="227E1361" w:rsidRPr="00FE7F19" w:rsidRDefault="227E1361" w:rsidP="002D2DE6">
      <w:pPr>
        <w:rPr>
          <w:lang w:val="es"/>
        </w:rPr>
      </w:pPr>
      <w:r w:rsidRPr="00FE7F19">
        <w:rPr>
          <w:lang w:val="es"/>
        </w:rPr>
        <w:t>Antes de otorgar el reconocimiento retroactivo, QCS debe obtener mapas que identifiquen claramente cada parcela de tierra cubierta por la solicitud de reconocimiento retroactivo e información sobre la superficie total de esas parcelas de tierra y, si es relevante, sobre la naturaleza y el volumen de la producción en curso y sus coordenadas de geolocalización; y cualquier otro documento relevante considerado necesario para evaluar la solicitud de reconocimiento retroactivo. Además, QCS llevará a cabo un análisis de riesgo detallado basado en evidencia documental para evaluar si alguna parcela de tierra cubierta por la solicitud de reconocimiento retroactivo ha sido tratada con productos o sustancias que no están autorizados para uso en producción orgánica durante un período de al menos 3 años; tomar muestras del suelo y/o planta de cada parcela de tierra de acuerdo con los resultados del análisis de riesgo; y realizar una inspección física antes de que el operador haya tomado cualquier medida de cultivo.</w:t>
      </w:r>
    </w:p>
    <w:p w14:paraId="67C33C0D" w14:textId="710B95A7" w:rsidR="227E1361" w:rsidRDefault="227E1361" w:rsidP="002D2DE6">
      <w:pPr>
        <w:rPr>
          <w:lang w:val="es"/>
        </w:rPr>
      </w:pPr>
      <w:r w:rsidRPr="00FE7F19">
        <w:rPr>
          <w:lang w:val="es"/>
        </w:rPr>
        <w:t>QCS debe verificar la credibilidad de la evidencia que el operador proporciona como prueba y realizar la inspección inicial en el sitio de acuerdo con los criterios descritos a continuación. En todos los casos, el inspector debe evaluar el riesgo de contaminación durante el período de conversión de usos de tierras adyacentes.</w:t>
      </w:r>
      <w:r w:rsidR="00D045ED">
        <w:rPr>
          <w:lang w:val="es"/>
        </w:rPr>
        <w:t xml:space="preserve"> </w:t>
      </w:r>
    </w:p>
    <w:p w14:paraId="170CA6FC" w14:textId="2A6AF76E" w:rsidR="00D045ED" w:rsidRDefault="00EE5642" w:rsidP="009D791F">
      <w:pPr>
        <w:pStyle w:val="Heading4"/>
        <w:rPr>
          <w:lang w:val="es"/>
        </w:rPr>
      </w:pPr>
      <w:r w:rsidRPr="006C610B">
        <w:rPr>
          <w:lang w:val="es"/>
        </w:rPr>
        <w:t>Tabla de</w:t>
      </w:r>
      <w:r w:rsidR="006F6F8E">
        <w:rPr>
          <w:lang w:val="es"/>
        </w:rPr>
        <w:t xml:space="preserve"> guía </w:t>
      </w:r>
      <w:r w:rsidR="009245EB">
        <w:rPr>
          <w:lang w:val="es"/>
        </w:rPr>
        <w:t xml:space="preserve">de requisitos </w:t>
      </w:r>
      <w:r w:rsidR="006F6F8E">
        <w:rPr>
          <w:lang w:val="es"/>
        </w:rPr>
        <w:t>para</w:t>
      </w:r>
      <w:r w:rsidRPr="006C610B">
        <w:rPr>
          <w:lang w:val="es"/>
        </w:rPr>
        <w:t xml:space="preserve"> </w:t>
      </w:r>
      <w:r w:rsidR="009245EB">
        <w:rPr>
          <w:lang w:val="es"/>
        </w:rPr>
        <w:t xml:space="preserve">terrenos solicitados para </w:t>
      </w:r>
      <w:r w:rsidR="006C610B" w:rsidRPr="006C610B">
        <w:rPr>
          <w:lang w:val="es"/>
        </w:rPr>
        <w:t>reconocimiento retroactivo</w:t>
      </w:r>
    </w:p>
    <w:tbl>
      <w:tblPr>
        <w:tblStyle w:val="TableGrid"/>
        <w:tblW w:w="9360" w:type="dxa"/>
        <w:jc w:val="center"/>
        <w:tblLayout w:type="fixed"/>
        <w:tblLook w:val="06A0" w:firstRow="1" w:lastRow="0" w:firstColumn="1" w:lastColumn="0" w:noHBand="1" w:noVBand="1"/>
      </w:tblPr>
      <w:tblGrid>
        <w:gridCol w:w="2160"/>
        <w:gridCol w:w="4320"/>
        <w:gridCol w:w="2880"/>
      </w:tblGrid>
      <w:tr w:rsidR="227E1361" w14:paraId="13DF7390" w14:textId="77777777" w:rsidTr="00745D2B">
        <w:trPr>
          <w:cantSplit/>
          <w:trHeight w:val="300"/>
          <w:tblHeader/>
          <w:jc w:val="center"/>
        </w:trPr>
        <w:tc>
          <w:tcPr>
            <w:tcW w:w="2160" w:type="dxa"/>
          </w:tcPr>
          <w:p w14:paraId="1C3FFDBD" w14:textId="5ABE3658" w:rsidR="227E1361" w:rsidRPr="00D23DEF" w:rsidRDefault="227E1361" w:rsidP="008A5D09">
            <w:pPr>
              <w:keepNext/>
              <w:spacing w:before="20" w:after="20"/>
              <w:jc w:val="left"/>
              <w:rPr>
                <w:b/>
                <w:bCs/>
                <w:sz w:val="20"/>
                <w:szCs w:val="20"/>
                <w:lang w:val="es"/>
              </w:rPr>
            </w:pPr>
            <w:r w:rsidRPr="00D23DEF">
              <w:rPr>
                <w:b/>
                <w:bCs/>
                <w:sz w:val="20"/>
                <w:szCs w:val="20"/>
                <w:lang w:val="es"/>
              </w:rPr>
              <w:t>Uso Previo del Terreno</w:t>
            </w:r>
          </w:p>
        </w:tc>
        <w:tc>
          <w:tcPr>
            <w:tcW w:w="4320" w:type="dxa"/>
          </w:tcPr>
          <w:p w14:paraId="69534D3E" w14:textId="68604C44" w:rsidR="227E1361" w:rsidRPr="00D23DEF" w:rsidRDefault="227E1361" w:rsidP="008A5D09">
            <w:pPr>
              <w:keepNext/>
              <w:spacing w:before="20" w:after="20"/>
              <w:jc w:val="left"/>
              <w:rPr>
                <w:b/>
                <w:bCs/>
                <w:sz w:val="20"/>
                <w:szCs w:val="20"/>
                <w:lang w:val="es"/>
              </w:rPr>
            </w:pPr>
            <w:r w:rsidRPr="00D23DEF">
              <w:rPr>
                <w:b/>
                <w:bCs/>
                <w:sz w:val="20"/>
                <w:szCs w:val="20"/>
                <w:lang w:val="es"/>
              </w:rPr>
              <w:t>La evidencia documental debe incluir todo lo siguiente</w:t>
            </w:r>
          </w:p>
        </w:tc>
        <w:tc>
          <w:tcPr>
            <w:tcW w:w="2880" w:type="dxa"/>
          </w:tcPr>
          <w:p w14:paraId="59507BF0" w14:textId="6D17E53D" w:rsidR="227E1361" w:rsidRPr="00D23DEF" w:rsidRDefault="227E1361" w:rsidP="008A5D09">
            <w:pPr>
              <w:keepNext/>
              <w:spacing w:before="20" w:after="20"/>
              <w:jc w:val="left"/>
              <w:rPr>
                <w:b/>
                <w:bCs/>
                <w:sz w:val="20"/>
                <w:szCs w:val="20"/>
                <w:lang w:val="es"/>
              </w:rPr>
            </w:pPr>
            <w:r w:rsidRPr="00D23DEF">
              <w:rPr>
                <w:b/>
                <w:bCs/>
                <w:sz w:val="20"/>
                <w:szCs w:val="20"/>
                <w:lang w:val="es"/>
              </w:rPr>
              <w:t>Requisitos de la Primera Inspección</w:t>
            </w:r>
          </w:p>
        </w:tc>
      </w:tr>
      <w:tr w:rsidR="227E1361" w14:paraId="71586277" w14:textId="77777777" w:rsidTr="007C4F17">
        <w:trPr>
          <w:cantSplit/>
          <w:trHeight w:val="300"/>
          <w:jc w:val="center"/>
        </w:trPr>
        <w:tc>
          <w:tcPr>
            <w:tcW w:w="2160" w:type="dxa"/>
          </w:tcPr>
          <w:p w14:paraId="7C3BEAD8" w14:textId="03954AF0" w:rsidR="227E1361" w:rsidRPr="005F2B21" w:rsidRDefault="227E1361" w:rsidP="008A5D09">
            <w:pPr>
              <w:spacing w:before="20" w:after="20"/>
              <w:rPr>
                <w:color w:val="000000" w:themeColor="text1"/>
                <w:sz w:val="20"/>
                <w:szCs w:val="20"/>
                <w:lang w:val="es"/>
              </w:rPr>
            </w:pPr>
            <w:r w:rsidRPr="005F2B21">
              <w:rPr>
                <w:color w:val="000000" w:themeColor="text1"/>
                <w:sz w:val="20"/>
                <w:szCs w:val="20"/>
                <w:lang w:val="es"/>
              </w:rPr>
              <w:t>Área natural/ tierra en barbecho (sin cultivos alimentarios presentes</w:t>
            </w:r>
          </w:p>
        </w:tc>
        <w:tc>
          <w:tcPr>
            <w:tcW w:w="4320" w:type="dxa"/>
          </w:tcPr>
          <w:p w14:paraId="34AF1015" w14:textId="38197F19"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 xml:space="preserve">Evidencia de que la tierra estaba en un estado natural, abandonada o de otra manera no gestionada y no cultivada. La evidencia puede incluir la presencia de vegetación nativa, alto nivel de biodiversidad en vegetación y vida silvestre (incluyendo insectos y organismos del suelo), presencia de materia orgánica natural en el suelo (por ejemplo, hojas, madera muerta) </w:t>
            </w:r>
          </w:p>
          <w:p w14:paraId="48CD83F1" w14:textId="3F28EA03"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Evidencia de que no se produjeron o cosecharon productos (cultivos alimentarios o madera), como la ausencia de senderos vinculados a la explotación de la tierra o señales de intervención humana como poda, labranza o despeje</w:t>
            </w:r>
          </w:p>
        </w:tc>
        <w:tc>
          <w:tcPr>
            <w:tcW w:w="2880" w:type="dxa"/>
          </w:tcPr>
          <w:p w14:paraId="2E14C187" w14:textId="6D863F79"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 xml:space="preserve">Debe ocurrir antes del cultivo </w:t>
            </w:r>
          </w:p>
          <w:p w14:paraId="65C7B2A3" w14:textId="07CEB2CB"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 xml:space="preserve">Verificación del estado de la tierra a través de la observación de vegetación natural o en barbecho </w:t>
            </w:r>
          </w:p>
          <w:p w14:paraId="38F2B060" w14:textId="1FFC8BFF"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Evaluación de la edad y condición de la vegetación para asegurar que la tierra ha estado sin gestión durante todo el período solicitando reconocimiento retroactivo</w:t>
            </w:r>
          </w:p>
        </w:tc>
      </w:tr>
      <w:tr w:rsidR="00D61085" w14:paraId="43324193" w14:textId="77777777" w:rsidTr="007C4F17">
        <w:trPr>
          <w:cantSplit/>
          <w:trHeight w:val="545"/>
          <w:jc w:val="center"/>
        </w:trPr>
        <w:tc>
          <w:tcPr>
            <w:tcW w:w="2160" w:type="dxa"/>
          </w:tcPr>
          <w:p w14:paraId="5A5B1E78" w14:textId="2A99FEBC" w:rsidR="00D61085" w:rsidRPr="005F2B21" w:rsidRDefault="00D61085" w:rsidP="008A5D09">
            <w:pPr>
              <w:spacing w:before="20" w:after="20"/>
              <w:rPr>
                <w:color w:val="000000" w:themeColor="text1"/>
                <w:sz w:val="20"/>
                <w:szCs w:val="20"/>
                <w:lang w:val="es"/>
              </w:rPr>
            </w:pPr>
            <w:r w:rsidRPr="005F2B21">
              <w:rPr>
                <w:color w:val="000000" w:themeColor="text1"/>
                <w:sz w:val="20"/>
                <w:szCs w:val="20"/>
                <w:lang w:val="es"/>
              </w:rPr>
              <w:lastRenderedPageBreak/>
              <w:t>Cultivos perennes alimentarios en tierras abandonadas con poca o ninguna gestión</w:t>
            </w:r>
          </w:p>
        </w:tc>
        <w:tc>
          <w:tcPr>
            <w:tcW w:w="4320" w:type="dxa"/>
          </w:tcPr>
          <w:p w14:paraId="142DB68A" w14:textId="2D5B06FE" w:rsidR="00D61085" w:rsidRPr="005F2B21" w:rsidRDefault="00D61085" w:rsidP="008A5D09">
            <w:pPr>
              <w:spacing w:before="20" w:after="20"/>
              <w:jc w:val="left"/>
              <w:rPr>
                <w:rFonts w:eastAsia="Calibri"/>
                <w:sz w:val="20"/>
                <w:szCs w:val="20"/>
                <w:lang w:val="es"/>
              </w:rPr>
            </w:pPr>
            <w:r w:rsidRPr="005F2B21">
              <w:rPr>
                <w:rFonts w:eastAsia="Calibri"/>
                <w:sz w:val="20"/>
                <w:szCs w:val="20"/>
                <w:lang w:val="es"/>
              </w:rPr>
              <w:t>Evidencia de que las parcelas fueron abandonadas y no gestionadas</w:t>
            </w:r>
          </w:p>
          <w:p w14:paraId="31577437" w14:textId="1E4B4623" w:rsidR="00D61085" w:rsidRPr="005F2B21" w:rsidRDefault="00D61085" w:rsidP="008A5D09">
            <w:pPr>
              <w:spacing w:before="20" w:after="20"/>
              <w:jc w:val="left"/>
              <w:rPr>
                <w:rFonts w:eastAsia="Calibri"/>
                <w:sz w:val="20"/>
                <w:szCs w:val="20"/>
                <w:lang w:val="es"/>
              </w:rPr>
            </w:pPr>
          </w:p>
        </w:tc>
        <w:tc>
          <w:tcPr>
            <w:tcW w:w="2880" w:type="dxa"/>
            <w:vMerge w:val="restart"/>
          </w:tcPr>
          <w:p w14:paraId="51322F91" w14:textId="0A83701E" w:rsidR="00D61085" w:rsidRPr="005F2B21" w:rsidRDefault="00D61085"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Debe ocurrir antes del cultivo/gestión del cultivo para ser etiquetado como orgánico</w:t>
            </w:r>
          </w:p>
          <w:p w14:paraId="123C8049" w14:textId="1EE40D57" w:rsidR="00D61085" w:rsidRPr="005F2B21" w:rsidRDefault="00D61085"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 xml:space="preserve">Evaluación de la edad y condición de la vegetación para asegurar que la tierra ha estado sin gestión durante todo el período solicitando reconocimiento retroactivo </w:t>
            </w:r>
          </w:p>
        </w:tc>
      </w:tr>
      <w:tr w:rsidR="00D61085" w14:paraId="1D713B57" w14:textId="77777777" w:rsidTr="007C4F17">
        <w:trPr>
          <w:cantSplit/>
          <w:trHeight w:val="300"/>
          <w:jc w:val="center"/>
        </w:trPr>
        <w:tc>
          <w:tcPr>
            <w:tcW w:w="2160" w:type="dxa"/>
          </w:tcPr>
          <w:p w14:paraId="2C686146" w14:textId="5C041B32" w:rsidR="00D61085" w:rsidRPr="005F2B21" w:rsidRDefault="00D61085" w:rsidP="008A5D09">
            <w:pPr>
              <w:spacing w:before="20" w:after="20"/>
              <w:rPr>
                <w:color w:val="000000" w:themeColor="text1"/>
                <w:sz w:val="20"/>
                <w:szCs w:val="20"/>
                <w:lang w:val="es"/>
              </w:rPr>
            </w:pPr>
            <w:r w:rsidRPr="005F2B21">
              <w:rPr>
                <w:color w:val="000000" w:themeColor="text1"/>
                <w:sz w:val="20"/>
                <w:szCs w:val="20"/>
                <w:lang w:val="es"/>
              </w:rPr>
              <w:t>Área natural con solo cultivos alimentarios naturales (cultivos silvestres) presentes</w:t>
            </w:r>
          </w:p>
        </w:tc>
        <w:tc>
          <w:tcPr>
            <w:tcW w:w="4320" w:type="dxa"/>
          </w:tcPr>
          <w:p w14:paraId="754329B5" w14:textId="382480B4" w:rsidR="00D61085" w:rsidRPr="005F2B21" w:rsidRDefault="00D61085" w:rsidP="008A5D09">
            <w:pPr>
              <w:spacing w:before="20" w:after="20"/>
              <w:rPr>
                <w:color w:val="000000" w:themeColor="text1"/>
                <w:sz w:val="20"/>
                <w:szCs w:val="20"/>
                <w:lang w:val="es"/>
              </w:rPr>
            </w:pPr>
            <w:r w:rsidRPr="005F2B21">
              <w:rPr>
                <w:color w:val="000000" w:themeColor="text1"/>
                <w:sz w:val="20"/>
                <w:szCs w:val="20"/>
                <w:lang w:val="es"/>
              </w:rPr>
              <w:t>Evidencia de que las parcelas no fueron gestionadas sin aplicación de ningún insumo</w:t>
            </w:r>
          </w:p>
        </w:tc>
        <w:tc>
          <w:tcPr>
            <w:tcW w:w="2880" w:type="dxa"/>
            <w:vMerge/>
          </w:tcPr>
          <w:p w14:paraId="12DAC88A" w14:textId="51E52E29" w:rsidR="00D61085" w:rsidRPr="005F2B21" w:rsidRDefault="00D61085" w:rsidP="008A5D09">
            <w:pPr>
              <w:spacing w:before="20" w:after="20"/>
              <w:rPr>
                <w:sz w:val="20"/>
                <w:szCs w:val="20"/>
                <w:lang w:val="es"/>
              </w:rPr>
            </w:pPr>
          </w:p>
        </w:tc>
      </w:tr>
      <w:tr w:rsidR="227E1361" w14:paraId="6479FFCE" w14:textId="77777777" w:rsidTr="00AE1772">
        <w:trPr>
          <w:cantSplit/>
          <w:trHeight w:val="300"/>
          <w:jc w:val="center"/>
        </w:trPr>
        <w:tc>
          <w:tcPr>
            <w:tcW w:w="2160" w:type="dxa"/>
          </w:tcPr>
          <w:p w14:paraId="47052660" w14:textId="59F79C2D" w:rsidR="227E1361" w:rsidRPr="005F2B21" w:rsidRDefault="227E1361" w:rsidP="008A5D09">
            <w:pPr>
              <w:spacing w:before="20" w:after="20"/>
              <w:rPr>
                <w:color w:val="000000" w:themeColor="text1"/>
                <w:sz w:val="20"/>
                <w:szCs w:val="20"/>
                <w:lang w:val="es"/>
              </w:rPr>
            </w:pPr>
            <w:r w:rsidRPr="005F2B21">
              <w:rPr>
                <w:color w:val="000000" w:themeColor="text1"/>
                <w:sz w:val="20"/>
                <w:szCs w:val="20"/>
                <w:lang w:val="es"/>
              </w:rPr>
              <w:t>Producción activa de cultivos - certificada según otro estándar orgánico</w:t>
            </w:r>
          </w:p>
        </w:tc>
        <w:tc>
          <w:tcPr>
            <w:tcW w:w="4320" w:type="dxa"/>
          </w:tcPr>
          <w:p w14:paraId="5A6C23DB" w14:textId="068041B3"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color w:val="000000" w:themeColor="text1"/>
                <w:sz w:val="20"/>
                <w:szCs w:val="20"/>
                <w:lang w:val="es"/>
              </w:rPr>
              <w:t>C</w:t>
            </w:r>
            <w:r w:rsidRPr="005F2B21">
              <w:rPr>
                <w:sz w:val="20"/>
                <w:szCs w:val="20"/>
                <w:lang w:val="es"/>
              </w:rPr>
              <w:t>ertificación orgánica válida bajo un marco regulatorio diferente (nacional o internacional)</w:t>
            </w:r>
          </w:p>
          <w:p w14:paraId="301CA146" w14:textId="585FAD42" w:rsidR="227E1361" w:rsidRPr="005F2B21" w:rsidRDefault="227E1361" w:rsidP="008A5D09">
            <w:pPr>
              <w:pStyle w:val="ListParagraph"/>
              <w:numPr>
                <w:ilvl w:val="0"/>
                <w:numId w:val="1"/>
              </w:numPr>
              <w:spacing w:before="20" w:after="20"/>
              <w:ind w:left="360"/>
              <w:contextualSpacing w:val="0"/>
              <w:jc w:val="left"/>
              <w:rPr>
                <w:rFonts w:eastAsia="Calibri"/>
                <w:sz w:val="20"/>
                <w:szCs w:val="20"/>
                <w:lang w:val="es"/>
              </w:rPr>
            </w:pPr>
            <w:r w:rsidRPr="005F2B21">
              <w:rPr>
                <w:rFonts w:eastAsia="Calibri"/>
                <w:sz w:val="20"/>
                <w:szCs w:val="20"/>
                <w:lang w:val="es"/>
              </w:rPr>
              <w:t>Registros de aplicación de insumos para todo el período buscando reconocimiento retroactivo que identifiquen los productos por nombre y fabricante y enumeren la(s) fecha(s) de aplicación. QCS debe evaluar todos los insumos para confirmar que todos los materiales están autorizados para uso bajo 2018/848</w:t>
            </w:r>
          </w:p>
          <w:p w14:paraId="67747EF1" w14:textId="6906FA9E" w:rsidR="227E1361" w:rsidRPr="005F2B21" w:rsidRDefault="227E1361" w:rsidP="008A5D09">
            <w:pPr>
              <w:spacing w:before="20" w:after="20"/>
              <w:rPr>
                <w:sz w:val="20"/>
                <w:szCs w:val="20"/>
                <w:lang w:val="es"/>
              </w:rPr>
            </w:pPr>
          </w:p>
        </w:tc>
        <w:tc>
          <w:tcPr>
            <w:tcW w:w="2880" w:type="dxa"/>
            <w:tcBorders>
              <w:bottom w:val="none" w:sz="4" w:space="0" w:color="000000" w:themeColor="text1"/>
            </w:tcBorders>
            <w:vAlign w:val="center"/>
          </w:tcPr>
          <w:p w14:paraId="70C41C7F" w14:textId="342DB403" w:rsidR="227E1361" w:rsidRPr="005F2B21" w:rsidRDefault="227E1361" w:rsidP="008A5D09">
            <w:pPr>
              <w:spacing w:before="20" w:after="20"/>
              <w:jc w:val="left"/>
              <w:rPr>
                <w:color w:val="000000" w:themeColor="text1"/>
                <w:sz w:val="20"/>
                <w:szCs w:val="20"/>
                <w:lang w:val="es"/>
              </w:rPr>
            </w:pPr>
            <w:r w:rsidRPr="005F2B21">
              <w:rPr>
                <w:color w:val="000000" w:themeColor="text1"/>
                <w:sz w:val="20"/>
                <w:szCs w:val="20"/>
                <w:lang w:val="es"/>
              </w:rPr>
              <w:t>Debe ocurrir antes del cultivo de un cultivo anual para ser etiquetado como orgánico O antes del inicio del ciclo de producción y gestión para un cultivo perenne</w:t>
            </w:r>
          </w:p>
        </w:tc>
      </w:tr>
      <w:tr w:rsidR="227E1361" w14:paraId="2810845F" w14:textId="77777777" w:rsidTr="00AE1772">
        <w:trPr>
          <w:cantSplit/>
          <w:trHeight w:val="300"/>
          <w:jc w:val="center"/>
        </w:trPr>
        <w:tc>
          <w:tcPr>
            <w:tcW w:w="2160" w:type="dxa"/>
          </w:tcPr>
          <w:p w14:paraId="017DEED3" w14:textId="573E709E" w:rsidR="227E1361" w:rsidRPr="005F2B21" w:rsidRDefault="227E1361" w:rsidP="008A5D09">
            <w:pPr>
              <w:spacing w:before="20" w:after="20"/>
              <w:rPr>
                <w:color w:val="000000" w:themeColor="text1"/>
                <w:sz w:val="20"/>
                <w:szCs w:val="20"/>
                <w:lang w:val="es"/>
              </w:rPr>
            </w:pPr>
            <w:r w:rsidRPr="005F2B21">
              <w:rPr>
                <w:color w:val="000000" w:themeColor="text1"/>
                <w:sz w:val="20"/>
                <w:szCs w:val="20"/>
                <w:lang w:val="es"/>
              </w:rPr>
              <w:t>Producción activa de cultivos usando prácticas orgánicas en tierras que anteriormente estaban certificadas como orgánicas y tuvieron una interrupción en la certificación por menos de un año. La razón de la interrupción en la certificación puede ser la venta de la granja a un nuevo operador, falta de mercado, desvinculación de un grupo de productores, u otra razón que no indique una interrupción en la gestión orgánica</w:t>
            </w:r>
          </w:p>
        </w:tc>
        <w:tc>
          <w:tcPr>
            <w:tcW w:w="4320" w:type="dxa"/>
          </w:tcPr>
          <w:p w14:paraId="6AF1F58C" w14:textId="67E04406"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Una copia del certificado orgánico anterior</w:t>
            </w:r>
          </w:p>
          <w:p w14:paraId="6FB42F75" w14:textId="77755F33"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Documentación de la expiración o cancelación del certificado o</w:t>
            </w:r>
          </w:p>
          <w:p w14:paraId="12C7963D" w14:textId="71703A53"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 xml:space="preserve"> desvinculación del grupo de productores (por ejemplo, Notificación de Cancelación) </w:t>
            </w:r>
          </w:p>
          <w:p w14:paraId="081B1B17" w14:textId="42F5DF24"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 xml:space="preserve">Una declaración escrita del operador detallando la razón de la interrupción en la certificación confirmada por escrito por el certificador anterior </w:t>
            </w:r>
          </w:p>
          <w:p w14:paraId="6CA1F5E9" w14:textId="6E4F3E49"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Verificación del certificador anterior de que la interrupción en la certificación no fue debido a la aplicación o contaminación por sustancias no autorizadas Registros de aplicación de insumos para todo el período durante el cual la tierra no estuvo certificada.</w:t>
            </w:r>
          </w:p>
          <w:p w14:paraId="50CBCF77" w14:textId="1F50BD28"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Los registros deben identificar cada insumo utilizado por nombre y fabricante y enumerar la(s) fecha(s) de aplicación. QCS debe evaluar todos los insumos para confirmar que todos los materiales están autorizados para uso bajo 2018/848</w:t>
            </w:r>
          </w:p>
        </w:tc>
        <w:tc>
          <w:tcPr>
            <w:tcW w:w="2880" w:type="dxa"/>
            <w:tcBorders>
              <w:top w:val="none" w:sz="4" w:space="0" w:color="000000" w:themeColor="text1"/>
              <w:bottom w:val="none" w:sz="4" w:space="0" w:color="000000" w:themeColor="text1"/>
            </w:tcBorders>
            <w:vAlign w:val="center"/>
          </w:tcPr>
          <w:p w14:paraId="4439EF36" w14:textId="752260F5" w:rsidR="227E1361" w:rsidRPr="005F2B21" w:rsidRDefault="00C24F90" w:rsidP="008A5D09">
            <w:pPr>
              <w:spacing w:before="20" w:after="20"/>
              <w:jc w:val="left"/>
              <w:rPr>
                <w:sz w:val="20"/>
                <w:szCs w:val="20"/>
                <w:lang w:val="es"/>
              </w:rPr>
            </w:pPr>
            <w:r w:rsidRPr="005F2B21">
              <w:rPr>
                <w:color w:val="000000" w:themeColor="text1"/>
                <w:sz w:val="20"/>
                <w:szCs w:val="20"/>
                <w:lang w:val="es"/>
              </w:rPr>
              <w:t>Debe ocurrir antes del cultivo de un cultivo anual para ser etiquetado como orgánico O antes del inicio del ciclo de producción y gestión para un cultivo perenne</w:t>
            </w:r>
          </w:p>
        </w:tc>
      </w:tr>
      <w:tr w:rsidR="227E1361" w14:paraId="2895578D" w14:textId="77777777" w:rsidTr="00AE1772">
        <w:trPr>
          <w:cantSplit/>
          <w:trHeight w:val="300"/>
          <w:jc w:val="center"/>
        </w:trPr>
        <w:tc>
          <w:tcPr>
            <w:tcW w:w="2160" w:type="dxa"/>
          </w:tcPr>
          <w:p w14:paraId="45998FAA" w14:textId="65E39E61" w:rsidR="227E1361" w:rsidRPr="005F2B21" w:rsidRDefault="227E1361" w:rsidP="008A5D09">
            <w:pPr>
              <w:spacing w:before="20" w:after="20"/>
              <w:rPr>
                <w:color w:val="000000" w:themeColor="text1"/>
                <w:sz w:val="20"/>
                <w:szCs w:val="20"/>
                <w:lang w:val="es"/>
              </w:rPr>
            </w:pPr>
            <w:r w:rsidRPr="005F2B21">
              <w:rPr>
                <w:color w:val="000000" w:themeColor="text1"/>
                <w:sz w:val="20"/>
                <w:szCs w:val="20"/>
                <w:lang w:val="es"/>
              </w:rPr>
              <w:lastRenderedPageBreak/>
              <w:t>Producción activa de cultivos de cualquier cultivo no certificado según ningún estándar orgánico</w:t>
            </w:r>
          </w:p>
          <w:p w14:paraId="2FF580FF" w14:textId="37251E3E" w:rsidR="227E1361" w:rsidRPr="005F2B21" w:rsidRDefault="227E1361" w:rsidP="008A5D09">
            <w:pPr>
              <w:spacing w:before="20" w:after="20"/>
              <w:rPr>
                <w:sz w:val="20"/>
                <w:szCs w:val="20"/>
                <w:lang w:val="es"/>
              </w:rPr>
            </w:pPr>
          </w:p>
        </w:tc>
        <w:tc>
          <w:tcPr>
            <w:tcW w:w="4320" w:type="dxa"/>
          </w:tcPr>
          <w:p w14:paraId="6FB9DD2B" w14:textId="65F90F23"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Documentación de un tercero competente</w:t>
            </w:r>
            <w:r w:rsidR="00ED4744" w:rsidRPr="005F2B21">
              <w:rPr>
                <w:rStyle w:val="FootnoteReference"/>
                <w:rFonts w:asciiTheme="minorHAnsi" w:hAnsiTheme="minorHAnsi" w:cstheme="minorHAnsi"/>
                <w:color w:val="000000" w:themeColor="text1"/>
                <w:sz w:val="20"/>
                <w:szCs w:val="20"/>
                <w:lang w:val="es"/>
              </w:rPr>
              <w:footnoteReference w:id="30"/>
            </w:r>
            <w:r w:rsidRPr="005F2B21">
              <w:rPr>
                <w:color w:val="000000" w:themeColor="text1"/>
                <w:sz w:val="20"/>
                <w:szCs w:val="20"/>
                <w:lang w:val="es"/>
              </w:rPr>
              <w:t xml:space="preserve"> que atestigüe que verificó mediante inspección en el sitio al menos una vez durante cada año solicitando reconocimiento retroactivo, que los registros de aplicación de insumos son precisos o que el operador no aplicó ningún insumo. La documentación debe incluir las fechas de inspección y el informe o resumen de observaciones de inspección del tercero </w:t>
            </w:r>
          </w:p>
          <w:p w14:paraId="10E15394" w14:textId="1A7A2B43" w:rsidR="227E1361" w:rsidRPr="005F2B21" w:rsidRDefault="227E1361" w:rsidP="008A5D09">
            <w:pPr>
              <w:pStyle w:val="ListParagraph"/>
              <w:numPr>
                <w:ilvl w:val="0"/>
                <w:numId w:val="1"/>
              </w:numPr>
              <w:spacing w:before="20" w:after="20"/>
              <w:ind w:left="360"/>
              <w:contextualSpacing w:val="0"/>
              <w:jc w:val="left"/>
              <w:rPr>
                <w:color w:val="000000" w:themeColor="text1"/>
                <w:sz w:val="20"/>
                <w:szCs w:val="20"/>
                <w:lang w:val="es"/>
              </w:rPr>
            </w:pPr>
            <w:r w:rsidRPr="005F2B21">
              <w:rPr>
                <w:color w:val="000000" w:themeColor="text1"/>
                <w:sz w:val="20"/>
                <w:szCs w:val="20"/>
                <w:lang w:val="es"/>
              </w:rPr>
              <w:t>Registros de aplicación de insumos para todo el período buscando reconocimiento retroactivo que identifiquen los productos de insumo por nombre y fabricante y enumeren la(s) fecha(s) de aplicación. QCS debe evaluar todos los insumos para confirmar que todos los materiales están autorizados para uso bajo 2018/848</w:t>
            </w:r>
          </w:p>
        </w:tc>
        <w:tc>
          <w:tcPr>
            <w:tcW w:w="2880" w:type="dxa"/>
            <w:tcBorders>
              <w:top w:val="none" w:sz="4" w:space="0" w:color="000000" w:themeColor="text1"/>
            </w:tcBorders>
            <w:vAlign w:val="center"/>
          </w:tcPr>
          <w:p w14:paraId="1A42A978" w14:textId="42EE8EE4" w:rsidR="227E1361" w:rsidRPr="005F2B21" w:rsidRDefault="00C24F90" w:rsidP="008A5D09">
            <w:pPr>
              <w:spacing w:before="20" w:after="20"/>
              <w:jc w:val="left"/>
              <w:rPr>
                <w:sz w:val="20"/>
                <w:szCs w:val="20"/>
                <w:lang w:val="es"/>
              </w:rPr>
            </w:pPr>
            <w:r w:rsidRPr="005F2B21">
              <w:rPr>
                <w:color w:val="000000" w:themeColor="text1"/>
                <w:sz w:val="20"/>
                <w:szCs w:val="20"/>
                <w:lang w:val="es"/>
              </w:rPr>
              <w:t>Debe ocurrir antes del cultivo de un cultivo anual para ser etiquetado como orgánico O antes del inicio del ciclo de producción y gestión para un cultivo perenne</w:t>
            </w:r>
          </w:p>
        </w:tc>
      </w:tr>
    </w:tbl>
    <w:p w14:paraId="45144DC0" w14:textId="78354060" w:rsidR="227E1361" w:rsidRDefault="227E1361" w:rsidP="00987C73">
      <w:pPr>
        <w:spacing w:before="120"/>
        <w:rPr>
          <w:color w:val="000000" w:themeColor="text1"/>
          <w:lang w:val="es"/>
        </w:rPr>
      </w:pPr>
      <w:r w:rsidRPr="00FE7F19">
        <w:rPr>
          <w:color w:val="000000" w:themeColor="text1"/>
          <w:lang w:val="es"/>
        </w:rPr>
        <w:t>En los casos en que se concede el reconocimiento retroactivo, QCS elaborará un informe final por escrito que indica el período inicial considerado como orgánico para cada parcela de tierra concernida, así como la superficie total de las parcelas de tierra beneficiadas de este reconocimiento retroactivo de un período e incluye justificación por qué el período anterior puede ser reconocido retroactivamente como parte del período de conversión; y notificará a la Comisión y a su organismo de acreditación sobre cualquier reconocimiento retroactivo otorgado. El operador al que se aplique el reconocimiento retroactivo otorgado debe mantener evidencia documental relacionada con ese reconocimiento, así como evidencia documental sobre el uso de las parcelas de tierra cubiertas por ese reconocimiento, durante 3 años</w:t>
      </w:r>
      <w:r w:rsidR="00987C73">
        <w:rPr>
          <w:color w:val="000000" w:themeColor="text1"/>
          <w:lang w:val="es"/>
        </w:rPr>
        <w:t xml:space="preserve">. </w:t>
      </w:r>
    </w:p>
    <w:p w14:paraId="41D8F59D" w14:textId="47CFE894" w:rsidR="227E1361" w:rsidRDefault="227E1361" w:rsidP="009D791F">
      <w:pPr>
        <w:pStyle w:val="Heading4"/>
        <w:rPr>
          <w:lang w:val="es"/>
        </w:rPr>
      </w:pPr>
      <w:r w:rsidRPr="00FE7F19">
        <w:rPr>
          <w:lang w:val="es"/>
        </w:rPr>
        <w:t>Gestión de la Explotación – UE 2018/848</w:t>
      </w:r>
    </w:p>
    <w:p w14:paraId="7361DD38" w14:textId="2259C719" w:rsidR="227E1361" w:rsidRPr="00FE7F19" w:rsidRDefault="227E1361" w:rsidP="009152AD">
      <w:pPr>
        <w:spacing w:before="120" w:after="120"/>
        <w:rPr>
          <w:lang w:val="es"/>
        </w:rPr>
      </w:pPr>
      <w:r w:rsidRPr="00FE7F19">
        <w:rPr>
          <w:lang w:val="es"/>
        </w:rPr>
        <w:t xml:space="preserve">Una 'explotación' consiste en todas las unidades de producción operadas bajo una sola gestión con el propósito de producir productos agrícolas vivos o no procesados. El Artículo 9(2) </w:t>
      </w:r>
      <w:r w:rsidR="003655E2">
        <w:rPr>
          <w:lang w:val="es"/>
        </w:rPr>
        <w:t>del Reglamento (UE)</w:t>
      </w:r>
      <w:r w:rsidRPr="00FE7F19">
        <w:rPr>
          <w:lang w:val="es"/>
        </w:rPr>
        <w:t xml:space="preserve"> 2018/848 requiere que toda la explotación se gestione en cumplimiento con los requisitos de producción orgánica. Una explotación puede dividirse en unidades de producción clara y efectivamente separadas para producción orgánica, en conversión y no orgánica solo cuando se produzcan diferentes variedades que puedan diferenciarse fácilmente en las unidades de producción no orgánicas (Artículo 9(7) del </w:t>
      </w:r>
      <w:r w:rsidR="003655E2">
        <w:rPr>
          <w:lang w:val="es"/>
        </w:rPr>
        <w:t>Reglamento</w:t>
      </w:r>
      <w:r w:rsidRPr="00FE7F19">
        <w:rPr>
          <w:lang w:val="es"/>
        </w:rPr>
        <w:t xml:space="preserve"> (UE) 2018/848), excepto que el requisito de diferentes variedades no se aplica a centros de investigación y educación, viveros de plantas y multiplicadores de semillas.</w:t>
      </w:r>
    </w:p>
    <w:p w14:paraId="31E91CE9" w14:textId="195F6408" w:rsidR="227E1361" w:rsidRDefault="227E1361" w:rsidP="009152AD">
      <w:pPr>
        <w:spacing w:before="120" w:after="120"/>
        <w:rPr>
          <w:color w:val="000000" w:themeColor="text1"/>
          <w:lang w:val="es"/>
        </w:rPr>
      </w:pPr>
      <w:r w:rsidRPr="00FE7F19">
        <w:rPr>
          <w:color w:val="000000" w:themeColor="text1"/>
          <w:lang w:val="es"/>
        </w:rPr>
        <w:t xml:space="preserve">Por derogación del Artículo 9(7)(b), diferentes variedades que no pueden diferenciarse fácilmente o las mismas variedades pueden producirse en las unidades de producción no orgánicas de acuerdo con los criterios establecidos en el Artículo (9)(8) de la Regulación 2018/848. Los cultivos deben ser perennes y requerir un período de cultivo de al menos tres años. Todas las unidades de producción no orgánicas </w:t>
      </w:r>
      <w:r w:rsidRPr="00FE7F19">
        <w:rPr>
          <w:color w:val="000000" w:themeColor="text1"/>
          <w:lang w:val="es"/>
        </w:rPr>
        <w:lastRenderedPageBreak/>
        <w:t>deben convertirse a producción orgánica lo antes posible y dentro de un máximo de cinco años. En tales casos, el operador debe notificar a QCS el inicio de la cosecha de cada uno de los productos concernidos al menos 48 horas antes. Al finalizar la cosecha, el operador debe informar a QCS sobre las cantidades exactas cosechadas de las unidades concernidas y sobre las medidas tomadas para separar los productos. QCS confirma el plan de conversión y la adecuación de las medidas a tomar para asegurar la separación efectiva y clara cada año después del inicio del plan de conversión.</w:t>
      </w:r>
      <w:r w:rsidR="00787BA0">
        <w:rPr>
          <w:color w:val="000000" w:themeColor="text1"/>
          <w:lang w:val="es"/>
        </w:rPr>
        <w:t xml:space="preserve"> </w:t>
      </w:r>
    </w:p>
    <w:p w14:paraId="74788E19" w14:textId="517BF4BB" w:rsidR="00787BA0" w:rsidRDefault="006003D2" w:rsidP="00787BA0">
      <w:pPr>
        <w:pStyle w:val="Heading4"/>
        <w:rPr>
          <w:lang w:val="es"/>
        </w:rPr>
      </w:pPr>
      <w:r w:rsidRPr="006003D2">
        <w:rPr>
          <w:lang w:val="es"/>
        </w:rPr>
        <w:t>Uso de juveniles de acuicultura no ecológicos - UE 2018/848</w:t>
      </w:r>
    </w:p>
    <w:p w14:paraId="50443771" w14:textId="007939B2" w:rsidR="00787BA0" w:rsidRDefault="005D336C" w:rsidP="3053755D">
      <w:pPr>
        <w:spacing w:before="120" w:after="120"/>
        <w:rPr>
          <w:color w:val="000000" w:themeColor="text1"/>
          <w:lang w:val="es-ES"/>
        </w:rPr>
      </w:pPr>
      <w:r w:rsidRPr="3053755D">
        <w:rPr>
          <w:color w:val="000000" w:themeColor="text1"/>
          <w:lang w:val="es-ES"/>
        </w:rPr>
        <w:t xml:space="preserve">Los operadores </w:t>
      </w:r>
      <w:r w:rsidR="00503BBB" w:rsidRPr="3053755D">
        <w:rPr>
          <w:color w:val="000000" w:themeColor="text1"/>
          <w:lang w:val="es-ES"/>
        </w:rPr>
        <w:t>podrán</w:t>
      </w:r>
      <w:r w:rsidR="00D168DC" w:rsidRPr="3053755D">
        <w:rPr>
          <w:color w:val="000000" w:themeColor="text1"/>
          <w:lang w:val="es-ES"/>
        </w:rPr>
        <w:t xml:space="preserve"> </w:t>
      </w:r>
      <w:r w:rsidR="00503BBB" w:rsidRPr="3053755D">
        <w:rPr>
          <w:color w:val="000000" w:themeColor="text1"/>
          <w:lang w:val="es-ES"/>
        </w:rPr>
        <w:t xml:space="preserve">solicitar </w:t>
      </w:r>
      <w:r w:rsidR="00D168DC" w:rsidRPr="3053755D">
        <w:rPr>
          <w:color w:val="000000" w:themeColor="text1"/>
          <w:lang w:val="es-ES"/>
        </w:rPr>
        <w:t>una excepción al requisito dispuesto en la letra a)</w:t>
      </w:r>
      <w:r w:rsidR="00545986" w:rsidRPr="3053755D">
        <w:rPr>
          <w:color w:val="000000" w:themeColor="text1"/>
          <w:lang w:val="es-ES"/>
        </w:rPr>
        <w:t xml:space="preserve"> de la sección 3.1.2.1 de Parte II del Anexo II del Reglamento (UE) 2018/848 </w:t>
      </w:r>
      <w:r w:rsidR="00D27595" w:rsidRPr="3053755D">
        <w:rPr>
          <w:color w:val="000000" w:themeColor="text1"/>
          <w:lang w:val="es-ES"/>
        </w:rPr>
        <w:t xml:space="preserve">que </w:t>
      </w:r>
      <w:r w:rsidR="007048D9" w:rsidRPr="3053755D">
        <w:rPr>
          <w:color w:val="000000" w:themeColor="text1"/>
          <w:lang w:val="es-ES"/>
        </w:rPr>
        <w:t>ex</w:t>
      </w:r>
      <w:r w:rsidR="007F5392" w:rsidRPr="3053755D">
        <w:rPr>
          <w:color w:val="000000" w:themeColor="text1"/>
          <w:lang w:val="es-ES"/>
        </w:rPr>
        <w:t xml:space="preserve">ige que </w:t>
      </w:r>
      <w:r w:rsidR="00D27595" w:rsidRPr="3053755D">
        <w:rPr>
          <w:color w:val="000000" w:themeColor="text1"/>
          <w:lang w:val="es-ES"/>
        </w:rPr>
        <w:t xml:space="preserve">los juveniles </w:t>
      </w:r>
      <w:r w:rsidR="00B57611" w:rsidRPr="3053755D">
        <w:rPr>
          <w:color w:val="000000" w:themeColor="text1"/>
          <w:lang w:val="es-ES"/>
        </w:rPr>
        <w:t xml:space="preserve">de </w:t>
      </w:r>
      <w:r w:rsidR="00E7641A" w:rsidRPr="3053755D">
        <w:rPr>
          <w:color w:val="000000" w:themeColor="text1"/>
          <w:lang w:val="es-ES"/>
        </w:rPr>
        <w:t>acuicultura</w:t>
      </w:r>
      <w:r w:rsidR="00B57611" w:rsidRPr="3053755D">
        <w:rPr>
          <w:color w:val="000000" w:themeColor="text1"/>
          <w:lang w:val="es-ES"/>
        </w:rPr>
        <w:t xml:space="preserve"> procedan de </w:t>
      </w:r>
      <w:r w:rsidR="00E7641A" w:rsidRPr="3053755D">
        <w:rPr>
          <w:color w:val="000000" w:themeColor="text1"/>
          <w:lang w:val="es-ES"/>
        </w:rPr>
        <w:t>reproductores</w:t>
      </w:r>
      <w:r w:rsidR="00B57611" w:rsidRPr="3053755D">
        <w:rPr>
          <w:color w:val="000000" w:themeColor="text1"/>
          <w:lang w:val="es-ES"/>
        </w:rPr>
        <w:t xml:space="preserve"> ecológicos y de unidades de producción </w:t>
      </w:r>
      <w:r w:rsidR="00E7641A" w:rsidRPr="3053755D">
        <w:rPr>
          <w:color w:val="000000" w:themeColor="text1"/>
          <w:lang w:val="es-ES"/>
        </w:rPr>
        <w:t xml:space="preserve">ecológica </w:t>
      </w:r>
      <w:r w:rsidR="00566883" w:rsidRPr="3053755D">
        <w:rPr>
          <w:color w:val="000000" w:themeColor="text1"/>
          <w:lang w:val="es-ES"/>
        </w:rPr>
        <w:t xml:space="preserve">como descritos en el Plan de </w:t>
      </w:r>
      <w:r w:rsidR="002735CF" w:rsidRPr="3053755D">
        <w:rPr>
          <w:color w:val="000000" w:themeColor="text1"/>
          <w:lang w:val="es-ES"/>
        </w:rPr>
        <w:t>Acuicultura</w:t>
      </w:r>
      <w:r w:rsidR="00566883" w:rsidRPr="3053755D">
        <w:rPr>
          <w:color w:val="000000" w:themeColor="text1"/>
          <w:lang w:val="es-ES"/>
        </w:rPr>
        <w:t xml:space="preserve"> Orgánica. </w:t>
      </w:r>
      <w:r w:rsidR="002735CF" w:rsidRPr="3053755D">
        <w:rPr>
          <w:color w:val="000000" w:themeColor="text1"/>
          <w:lang w:val="es-ES"/>
        </w:rPr>
        <w:t>QCS solo podrá conceder dicha excepción para especies que no fueron desarrolladas como orgánicas en el territorio del país en el que se encuentra la operación de acuicultura o en la Unión. La excepción podrá concederse por un período máximo de dos años y no será renovable.</w:t>
      </w:r>
    </w:p>
    <w:p w14:paraId="5E9323B4" w14:textId="77777777" w:rsidR="00811F6E" w:rsidRDefault="00811F6E" w:rsidP="009152AD">
      <w:pPr>
        <w:spacing w:before="120" w:after="120"/>
        <w:rPr>
          <w:color w:val="000000" w:themeColor="text1"/>
          <w:lang w:val="es"/>
        </w:rPr>
      </w:pPr>
    </w:p>
    <w:p w14:paraId="715F89AE" w14:textId="3C5DED58" w:rsidR="005778DF" w:rsidRPr="004B5D1A" w:rsidRDefault="00D443EA" w:rsidP="009152AD">
      <w:pPr>
        <w:spacing w:before="120" w:after="120"/>
        <w:rPr>
          <w:rFonts w:asciiTheme="majorHAnsi" w:hAnsiTheme="majorHAnsi" w:cstheme="majorHAnsi"/>
          <w:b/>
          <w:bCs/>
          <w:color w:val="000000" w:themeColor="text1"/>
          <w:sz w:val="24"/>
          <w:szCs w:val="24"/>
          <w:lang w:val="es"/>
        </w:rPr>
      </w:pPr>
      <w:r w:rsidRPr="004B5D1A">
        <w:rPr>
          <w:rFonts w:asciiTheme="majorHAnsi" w:hAnsiTheme="majorHAnsi" w:cstheme="majorHAnsi"/>
          <w:b/>
          <w:bCs/>
          <w:color w:val="000000" w:themeColor="text1"/>
          <w:sz w:val="24"/>
          <w:szCs w:val="24"/>
          <w:lang w:val="es"/>
        </w:rPr>
        <w:t>Exenciones – CARTV Quebec</w:t>
      </w:r>
    </w:p>
    <w:p w14:paraId="5BE4292C" w14:textId="4648CBC0" w:rsidR="00D443EA" w:rsidRPr="00FE7F19" w:rsidRDefault="00602CC9" w:rsidP="009152AD">
      <w:pPr>
        <w:spacing w:before="120" w:after="120"/>
        <w:rPr>
          <w:color w:val="000000" w:themeColor="text1"/>
          <w:lang w:val="es"/>
        </w:rPr>
      </w:pPr>
      <w:r w:rsidRPr="00602CC9">
        <w:rPr>
          <w:color w:val="000000" w:themeColor="text1"/>
          <w:lang w:val="es"/>
        </w:rPr>
        <w:t>Los productores de Quebec pueden obtener una exención de las normas orgánicas de Canadá a través de la CARTV. Todas las solicitudes de exención deben presentarse a la CARTV utilizando el formulario de solicitud de exención. Los productos cuya certificación se haya obtenido gracias a una exención otorgada por la CARTV no podrán comercializarse fuera del territorio de la provincia de Quebec.</w:t>
      </w:r>
    </w:p>
    <w:p w14:paraId="506BF1B0" w14:textId="77777777" w:rsidR="00811F6E" w:rsidRDefault="00811F6E" w:rsidP="007C4F17">
      <w:pPr>
        <w:pStyle w:val="Heading3"/>
        <w:rPr>
          <w:lang w:val="es"/>
        </w:rPr>
      </w:pPr>
    </w:p>
    <w:p w14:paraId="7B0932C9" w14:textId="50BF27F0" w:rsidR="227E1361" w:rsidRPr="00FE7F19" w:rsidRDefault="227E1361" w:rsidP="007C4F17">
      <w:pPr>
        <w:pStyle w:val="Heading3"/>
        <w:rPr>
          <w:lang w:val="es"/>
        </w:rPr>
      </w:pPr>
      <w:r w:rsidRPr="00FE7F19">
        <w:rPr>
          <w:lang w:val="es"/>
        </w:rPr>
        <w:t>Controles Adicionales UE 2018/848</w:t>
      </w:r>
    </w:p>
    <w:p w14:paraId="368DF807" w14:textId="150BEA7B" w:rsidR="227E1361" w:rsidRDefault="227E1361" w:rsidP="00337BBD">
      <w:pPr>
        <w:rPr>
          <w:color w:val="000000" w:themeColor="text1"/>
          <w:lang w:val="es"/>
        </w:rPr>
      </w:pPr>
      <w:r w:rsidRPr="00FE7F19">
        <w:rPr>
          <w:color w:val="000000" w:themeColor="text1"/>
          <w:lang w:val="es"/>
        </w:rPr>
        <w:t>Ocasionalmente, la Comisión Europea implementa regulaciones que requieren controles adicionales, incluyendo muestreos e inspecciones para productos específicos importados a la Unión desde países específicos. QCS implementa procedimientos para cumplir con todos los requisitos de control adicional aplicables a operaciones certificadas según los requisitos de producción orgánica de la UE</w:t>
      </w:r>
      <w:r w:rsidRPr="227E1361">
        <w:rPr>
          <w:color w:val="000000" w:themeColor="text1"/>
          <w:lang w:val="es"/>
        </w:rPr>
        <w:t>.</w:t>
      </w:r>
    </w:p>
    <w:p w14:paraId="6E2CDF76" w14:textId="77777777" w:rsidR="00811F6E" w:rsidRDefault="00811F6E" w:rsidP="009365AB">
      <w:pPr>
        <w:pStyle w:val="Heading3"/>
        <w:rPr>
          <w:lang w:val="es"/>
        </w:rPr>
      </w:pPr>
    </w:p>
    <w:p w14:paraId="127C74A4" w14:textId="0B44EC60" w:rsidR="00176DD1" w:rsidRDefault="00176DD1" w:rsidP="009365AB">
      <w:pPr>
        <w:pStyle w:val="Heading3"/>
        <w:rPr>
          <w:lang w:val="es"/>
        </w:rPr>
      </w:pPr>
      <w:r w:rsidRPr="00FE7F19">
        <w:rPr>
          <w:lang w:val="es"/>
        </w:rPr>
        <w:t xml:space="preserve">Conversión </w:t>
      </w:r>
      <w:r>
        <w:rPr>
          <w:lang w:val="es"/>
        </w:rPr>
        <w:t>–</w:t>
      </w:r>
      <w:r w:rsidRPr="00FE7F19">
        <w:rPr>
          <w:lang w:val="es"/>
        </w:rPr>
        <w:t xml:space="preserve"> UE</w:t>
      </w:r>
    </w:p>
    <w:p w14:paraId="4B9369A1" w14:textId="77777777" w:rsidR="00176DD1" w:rsidRPr="00FE7F19" w:rsidRDefault="00176DD1" w:rsidP="00176DD1">
      <w:pPr>
        <w:rPr>
          <w:lang w:val="es"/>
        </w:rPr>
      </w:pPr>
      <w:r w:rsidRPr="00FE7F19">
        <w:rPr>
          <w:lang w:val="es"/>
        </w:rPr>
        <w:t xml:space="preserve">Los operadores que convierten tierras a producción orgánica deben cumplir con un período de conversión, durante el cual deben aplicar todas las normas de producción orgánica. QCS reconoce el inicio del período de conversión como la fecha en que la operación presenta el plan del sistema orgánico y las tarifas aplicables. Las normas de producción orgánica deben aplicarse durante un período de conversión de: </w:t>
      </w:r>
    </w:p>
    <w:p w14:paraId="71482C36" w14:textId="77777777" w:rsidR="00176DD1" w:rsidRPr="00FE7F19" w:rsidRDefault="00176DD1" w:rsidP="00176DD1">
      <w:pPr>
        <w:pStyle w:val="ListParagraph"/>
        <w:numPr>
          <w:ilvl w:val="0"/>
          <w:numId w:val="1"/>
        </w:numPr>
        <w:spacing w:line="240" w:lineRule="auto"/>
        <w:ind w:left="360"/>
        <w:jc w:val="left"/>
        <w:rPr>
          <w:lang w:val="es"/>
        </w:rPr>
      </w:pPr>
      <w:r w:rsidRPr="00FE7F19">
        <w:rPr>
          <w:lang w:val="es"/>
        </w:rPr>
        <w:t xml:space="preserve">Cultivos anuales: al menos dos años antes de la siembra de un cultivo anual para ser etiquetado como "orgánico". </w:t>
      </w:r>
    </w:p>
    <w:p w14:paraId="78D514F1" w14:textId="77777777" w:rsidR="00176DD1" w:rsidRPr="00FE7F19" w:rsidRDefault="00176DD1" w:rsidP="00176DD1">
      <w:pPr>
        <w:pStyle w:val="ListParagraph"/>
        <w:numPr>
          <w:ilvl w:val="0"/>
          <w:numId w:val="1"/>
        </w:numPr>
        <w:spacing w:line="240" w:lineRule="auto"/>
        <w:ind w:left="360"/>
        <w:jc w:val="left"/>
        <w:rPr>
          <w:lang w:val="es"/>
        </w:rPr>
      </w:pPr>
      <w:r w:rsidRPr="00FE7F19">
        <w:rPr>
          <w:lang w:val="es"/>
        </w:rPr>
        <w:t>Cultivos perennes: al menos tres años antes de la primera cosecha de un cultivo perenne para ser etiquetado como "orgánico".</w:t>
      </w:r>
    </w:p>
    <w:p w14:paraId="21914F2C" w14:textId="77777777" w:rsidR="00176DD1" w:rsidRDefault="00176DD1" w:rsidP="00176DD1">
      <w:pPr>
        <w:spacing w:line="240" w:lineRule="auto"/>
        <w:jc w:val="left"/>
        <w:rPr>
          <w:lang w:val="es"/>
        </w:rPr>
      </w:pPr>
      <w:r w:rsidRPr="00FE7F19">
        <w:rPr>
          <w:lang w:val="es"/>
        </w:rPr>
        <w:t>Los productos que se han cosechado de tierras o de cultivos perennes que han estado bajo manejo orgánico durante 12 meses o más pueden etiquetarse como "en conversión".</w:t>
      </w:r>
    </w:p>
    <w:p w14:paraId="49F51E0F" w14:textId="77A8364A" w:rsidR="227E1361" w:rsidRDefault="227E1361" w:rsidP="00337BBD">
      <w:r>
        <w:br w:type="page"/>
      </w:r>
    </w:p>
    <w:p w14:paraId="1A2C57B3" w14:textId="1455602D" w:rsidR="006001CF" w:rsidRPr="006001CF" w:rsidRDefault="00815439" w:rsidP="007C4F17">
      <w:pPr>
        <w:pStyle w:val="Heading1"/>
      </w:pPr>
      <w:bookmarkStart w:id="78" w:name="_Toc159414645"/>
      <w:r>
        <w:lastRenderedPageBreak/>
        <w:t>08</w:t>
      </w:r>
      <w:r w:rsidR="00755C69">
        <w:t xml:space="preserve"> Mediación y apelación</w:t>
      </w:r>
      <w:bookmarkEnd w:id="78"/>
    </w:p>
    <w:p w14:paraId="0B17976B" w14:textId="732365CE" w:rsidR="009A0510" w:rsidRPr="00F91DD0" w:rsidRDefault="227E1361" w:rsidP="001536EC">
      <w:pPr>
        <w:pStyle w:val="Heading2"/>
        <w:rPr>
          <w:rFonts w:eastAsia="Calibri"/>
          <w:lang w:val="es-419"/>
        </w:rPr>
      </w:pPr>
      <w:bookmarkStart w:id="79" w:name="_Toc500935064"/>
      <w:r w:rsidRPr="227E1361">
        <w:t>Mediación</w:t>
      </w:r>
      <w:bookmarkEnd w:id="79"/>
    </w:p>
    <w:p w14:paraId="70952485" w14:textId="2A86FB45" w:rsidR="00572D87" w:rsidRPr="00F91DD0" w:rsidRDefault="227E1361" w:rsidP="001B6EF7">
      <w:pPr>
        <w:rPr>
          <w:lang w:val="es-419"/>
        </w:rPr>
      </w:pPr>
      <w:r w:rsidRPr="227E1361">
        <w:t>Cualquier disputa con respecto a la denegación de la certificación o la propuesta de suspensión o revocación de la certificación, puede ser mediada a solicitud del cliente. La mediación debe solicitarse por escrito a QCS.</w:t>
      </w:r>
    </w:p>
    <w:p w14:paraId="366EB62F" w14:textId="77777777" w:rsidR="00572D87" w:rsidRPr="00F91DD0" w:rsidRDefault="227E1361" w:rsidP="001B6EF7">
      <w:pPr>
        <w:rPr>
          <w:lang w:val="es-419"/>
        </w:rPr>
      </w:pPr>
      <w:r w:rsidRPr="227E1361">
        <w:t>Si QCS rechaza la solicitud de mediación, QCS notifica al cliente y le informa sobre el derecho de apelar dentro de los 30 días de la fecha de la notificación escrita de rechazo.</w:t>
      </w:r>
    </w:p>
    <w:p w14:paraId="283F002C" w14:textId="1939B664" w:rsidR="00572D87" w:rsidRPr="00F91DD0" w:rsidRDefault="227E1361" w:rsidP="001B6EF7">
      <w:pPr>
        <w:rPr>
          <w:lang w:val="es-419"/>
        </w:rPr>
      </w:pPr>
      <w:r w:rsidRPr="227E1361">
        <w:t>Si QCS acepta la solicitud de mediación, la mediación puede llevarse a cabo de manera informal o formal</w:t>
      </w:r>
      <w:r w:rsidR="00E24F4E">
        <w:t xml:space="preserve"> con un mediador neutral</w:t>
      </w:r>
      <w:r w:rsidRPr="227E1361">
        <w:t>. Las partes de la mediación tienen un máximo de 30 días para llegar a un acuerdo después de una sesión de mediación. Cualquier acuerdo alcanzado durante o resultante del proceso de mediación deberá cumplir con los estándares orgánicos aplicables.</w:t>
      </w:r>
    </w:p>
    <w:p w14:paraId="6FD5A4B1" w14:textId="77777777" w:rsidR="00572D87" w:rsidRPr="00F91DD0" w:rsidRDefault="227E1361" w:rsidP="001B6EF7">
      <w:pPr>
        <w:rPr>
          <w:lang w:val="es-419"/>
        </w:rPr>
      </w:pPr>
      <w:r w:rsidRPr="227E1361">
        <w:t>Si la mediación no tiene éxito, el cliente tiene 30 días desde la finalización de la mediación para apelar.</w:t>
      </w:r>
    </w:p>
    <w:p w14:paraId="5FFB9055" w14:textId="2B86A7B1" w:rsidR="00CF204E" w:rsidRPr="00F91DD0" w:rsidRDefault="00572D87" w:rsidP="001B6EF7">
      <w:pPr>
        <w:rPr>
          <w:lang w:val="es-419"/>
        </w:rPr>
      </w:pPr>
      <w:r w:rsidRPr="00F91DD0">
        <w:rPr>
          <w:lang w:val="es-419"/>
        </w:rPr>
        <w:t xml:space="preserve">Bajo el </w:t>
      </w:r>
      <w:r w:rsidR="00A47F66">
        <w:rPr>
          <w:lang w:val="es-419"/>
        </w:rPr>
        <w:t>Programa Orgánico</w:t>
      </w:r>
      <w:r w:rsidR="00953B41">
        <w:rPr>
          <w:lang w:val="es-419"/>
        </w:rPr>
        <w:t xml:space="preserve"> Nacional del </w:t>
      </w:r>
      <w:r w:rsidR="00F21B05" w:rsidRPr="00F91DD0">
        <w:rPr>
          <w:lang w:val="es-419"/>
        </w:rPr>
        <w:t>USDA</w:t>
      </w:r>
      <w:r w:rsidR="00953B41">
        <w:rPr>
          <w:lang w:val="es-419"/>
        </w:rPr>
        <w:t xml:space="preserve">, </w:t>
      </w:r>
      <w:r w:rsidRPr="00F91DD0">
        <w:rPr>
          <w:lang w:val="es-419"/>
        </w:rPr>
        <w:t xml:space="preserve">el </w:t>
      </w:r>
      <w:proofErr w:type="gramStart"/>
      <w:r w:rsidR="00F22FBF" w:rsidRPr="00F91DD0">
        <w:rPr>
          <w:lang w:val="es-419"/>
        </w:rPr>
        <w:t>Secretar</w:t>
      </w:r>
      <w:r w:rsidR="00953B41">
        <w:rPr>
          <w:lang w:val="es-419"/>
        </w:rPr>
        <w:t>io</w:t>
      </w:r>
      <w:proofErr w:type="gramEnd"/>
      <w:r w:rsidRPr="00F91DD0">
        <w:rPr>
          <w:lang w:val="es-419"/>
        </w:rPr>
        <w:t xml:space="preserve"> puede revisar cualquier acuerdo de conciliación mediado para el cumplimiento del NOP y rechazar un acuerdo o disposición que no cumpla con el NOP</w:t>
      </w:r>
      <w:r w:rsidR="00C62E1F" w:rsidRPr="00F91DD0">
        <w:rPr>
          <w:rFonts w:eastAsia="Times New Roman"/>
          <w:vertAlign w:val="superscript"/>
          <w:lang w:val="es-419"/>
        </w:rPr>
        <w:footnoteReference w:id="31"/>
      </w:r>
      <w:r w:rsidR="00953B41">
        <w:rPr>
          <w:lang w:val="es-419"/>
        </w:rPr>
        <w:t xml:space="preserve">. </w:t>
      </w:r>
    </w:p>
    <w:p w14:paraId="7602A1A9" w14:textId="3AF4DB18" w:rsidR="00F21B05" w:rsidRPr="00F91DD0" w:rsidRDefault="227E1361" w:rsidP="001B6EF7">
      <w:pPr>
        <w:rPr>
          <w:lang w:val="es-419"/>
        </w:rPr>
      </w:pPr>
      <w:r w:rsidRPr="227E1361">
        <w:t>La mediación no se aplica a los solicitantes ni a las operaciones certificadas bajo COR.</w:t>
      </w:r>
    </w:p>
    <w:p w14:paraId="4BFB93FA" w14:textId="01906679" w:rsidR="00CF204E" w:rsidRPr="00F91DD0" w:rsidRDefault="227E1361" w:rsidP="001536EC">
      <w:pPr>
        <w:pStyle w:val="Heading2"/>
        <w:rPr>
          <w:lang w:val="es-419"/>
        </w:rPr>
      </w:pPr>
      <w:bookmarkStart w:id="80" w:name="_Toc424898872"/>
      <w:bookmarkStart w:id="81" w:name="_Toc424899264"/>
      <w:bookmarkStart w:id="82" w:name="_Toc500935065"/>
      <w:bookmarkStart w:id="83" w:name="_Toc277166688"/>
      <w:r w:rsidRPr="227E1361">
        <w:t>Apela</w:t>
      </w:r>
      <w:bookmarkEnd w:id="80"/>
      <w:bookmarkEnd w:id="81"/>
      <w:bookmarkEnd w:id="82"/>
      <w:r w:rsidRPr="227E1361">
        <w:t>ciones</w:t>
      </w:r>
      <w:bookmarkEnd w:id="83"/>
    </w:p>
    <w:p w14:paraId="0D68C4DA" w14:textId="46FBA376" w:rsidR="00CF204E" w:rsidRPr="00F91DD0" w:rsidRDefault="227E1361" w:rsidP="00337BBD">
      <w:pPr>
        <w:rPr>
          <w:rFonts w:eastAsia="Calibri"/>
          <w:lang w:val="es-419"/>
        </w:rPr>
      </w:pPr>
      <w:r w:rsidRPr="227E1361">
        <w:rPr>
          <w:rFonts w:eastAsia="Calibri"/>
        </w:rPr>
        <w:t>El proceso de apelación varía según el estándar de certificación. Sin embargo, todas las apelaciones deben ser por escrito y se mantiene un registro en QCS de todas las apelaciones. También se mantienen registros de las acciones posteriores junto con el seguimiento para garantizar que la acción fue efectiva.</w:t>
      </w:r>
      <w:r w:rsidR="00C2598D">
        <w:rPr>
          <w:rFonts w:eastAsia="Calibri"/>
        </w:rPr>
        <w:t xml:space="preserve"> </w:t>
      </w:r>
    </w:p>
    <w:p w14:paraId="5496CA9E" w14:textId="37312780" w:rsidR="00CF204E" w:rsidRPr="00E140B1" w:rsidRDefault="00CF204E" w:rsidP="007C4F17">
      <w:pPr>
        <w:pStyle w:val="Heading3"/>
      </w:pPr>
      <w:r w:rsidRPr="00E140B1">
        <w:t>Ape</w:t>
      </w:r>
      <w:r w:rsidR="002F23EA" w:rsidRPr="00E140B1">
        <w:t>lación</w:t>
      </w:r>
      <w:r w:rsidR="00E140B1" w:rsidRPr="00E140B1">
        <w:t xml:space="preserve"> – </w:t>
      </w:r>
      <w:r w:rsidR="00BE1CFC" w:rsidRPr="00E140B1">
        <w:t>N</w:t>
      </w:r>
      <w:r w:rsidR="00BE1CFC" w:rsidRPr="00E140B1">
        <w:fldChar w:fldCharType="begin"/>
      </w:r>
      <w:r w:rsidR="00BE1CFC" w:rsidRPr="00E140B1">
        <w:instrText xml:space="preserve">  </w:instrText>
      </w:r>
      <w:r w:rsidR="00BE1CFC" w:rsidRPr="00E140B1">
        <w:fldChar w:fldCharType="end"/>
      </w:r>
      <w:r w:rsidR="00BE1CFC" w:rsidRPr="00E140B1">
        <w:t>OP</w:t>
      </w:r>
      <w:r w:rsidRPr="004F2478">
        <w:rPr>
          <w:vertAlign w:val="superscript"/>
        </w:rPr>
        <w:footnoteReference w:id="32"/>
      </w:r>
    </w:p>
    <w:p w14:paraId="37E7FA06" w14:textId="5C7D6B58" w:rsidR="00CF204E" w:rsidRPr="00F91DD0" w:rsidRDefault="227E1361" w:rsidP="00337BBD">
      <w:pPr>
        <w:rPr>
          <w:rFonts w:eastAsia="Calibri"/>
          <w:lang w:val="es-419"/>
        </w:rPr>
      </w:pPr>
      <w:r w:rsidRPr="227E1361">
        <w:rPr>
          <w:rFonts w:eastAsia="Calibri"/>
        </w:rPr>
        <w:t>Las operaciones pueden apelar la decisión de denegación, la propuesta de suspensión propuesta o revocación al Administrador de NOP, a menos que residan en un estado con un programa orgánico según USDA NOP §</w:t>
      </w:r>
      <w:proofErr w:type="gramStart"/>
      <w:r w:rsidRPr="227E1361">
        <w:rPr>
          <w:rFonts w:eastAsia="Calibri"/>
        </w:rPr>
        <w:t>205.680.d</w:t>
      </w:r>
      <w:proofErr w:type="gramEnd"/>
      <w:r w:rsidRPr="227E1361">
        <w:rPr>
          <w:rFonts w:eastAsia="Calibri"/>
        </w:rPr>
        <w:t xml:space="preserve">-e, 205.681, en cuyo caso la apelación debe enviarse al programa orgánico estatal que gobierna. </w:t>
      </w:r>
    </w:p>
    <w:p w14:paraId="69940A94" w14:textId="7BD17830" w:rsidR="227E1361" w:rsidRPr="00E140B1" w:rsidRDefault="227E1361" w:rsidP="007C4F17">
      <w:pPr>
        <w:pStyle w:val="Heading3"/>
      </w:pPr>
      <w:r w:rsidRPr="00E140B1">
        <w:t>Apelación – OPT</w:t>
      </w:r>
      <w:r w:rsidR="00C2598D" w:rsidRPr="00E140B1">
        <w:t xml:space="preserve"> </w:t>
      </w:r>
      <w:r w:rsidRPr="00E140B1">
        <w:t>Ganado Orgánico Alimentado con Pasto Certificado</w:t>
      </w:r>
    </w:p>
    <w:p w14:paraId="613827C5" w14:textId="316B2E3B" w:rsidR="004D49E7" w:rsidRPr="00F91DD0" w:rsidRDefault="227E1361" w:rsidP="00337BBD">
      <w:pPr>
        <w:rPr>
          <w:rFonts w:eastAsia="Calibri"/>
          <w:lang w:val="es-419"/>
        </w:rPr>
      </w:pPr>
      <w:r w:rsidRPr="227E1361">
        <w:rPr>
          <w:rFonts w:eastAsia="Calibri"/>
        </w:rPr>
        <w:t xml:space="preserve">Las apelaciones de acciones adversas deberán ser presentadas por escrito por el operador a QCS. QCS remitirá la apelación al gerente del programa OPT, junto con cualquier parte del registro de certificación necesaria para la disposición adecuada de la querella. </w:t>
      </w:r>
    </w:p>
    <w:p w14:paraId="253C5E47" w14:textId="4D7FFDF8" w:rsidR="00CF204E" w:rsidRPr="00E140B1" w:rsidRDefault="227E1361" w:rsidP="007C4F17">
      <w:pPr>
        <w:pStyle w:val="Heading3"/>
      </w:pPr>
      <w:r w:rsidRPr="00E140B1">
        <w:t>Apelación - Todos los otros programas</w:t>
      </w:r>
    </w:p>
    <w:p w14:paraId="1AC3F3DE" w14:textId="0847A28A" w:rsidR="001F51D1" w:rsidRPr="00F91DD0" w:rsidRDefault="227E1361" w:rsidP="3053755D">
      <w:pPr>
        <w:spacing w:line="240" w:lineRule="auto"/>
        <w:rPr>
          <w:rFonts w:eastAsia="Calibri"/>
          <w:lang w:val="es-ES"/>
        </w:rPr>
      </w:pPr>
      <w:bookmarkStart w:id="84" w:name="_Toc277166689"/>
      <w:r w:rsidRPr="3053755D">
        <w:rPr>
          <w:lang w:val="es-ES"/>
        </w:rPr>
        <w:t xml:space="preserve">Todas las solicitudes y notificaciones de apelación a decisiones adversas para todos los programas que no sean el NOP (es decir, medidas impuestas de acuerdo con los Requisitos de Certificación del </w:t>
      </w:r>
      <w:r w:rsidR="003655E2" w:rsidRPr="3053755D">
        <w:rPr>
          <w:lang w:val="es-ES"/>
        </w:rPr>
        <w:t>Reglamento</w:t>
      </w:r>
      <w:r w:rsidRPr="3053755D">
        <w:rPr>
          <w:lang w:val="es-ES"/>
        </w:rPr>
        <w:t xml:space="preserve"> (UE) 2018/848, COR</w:t>
      </w:r>
      <w:r w:rsidR="00B64BED" w:rsidRPr="3053755D">
        <w:rPr>
          <w:lang w:val="es-ES"/>
        </w:rPr>
        <w:t>, y</w:t>
      </w:r>
      <w:r w:rsidRPr="3053755D">
        <w:rPr>
          <w:lang w:val="es-ES"/>
        </w:rPr>
        <w:t xml:space="preserve"> </w:t>
      </w:r>
      <w:r w:rsidR="00E2232E" w:rsidRPr="3053755D">
        <w:rPr>
          <w:lang w:val="es-ES"/>
        </w:rPr>
        <w:t>Regenerative Organic Certified</w:t>
      </w:r>
      <w:r w:rsidRPr="3053755D">
        <w:rPr>
          <w:lang w:val="es-ES"/>
        </w:rPr>
        <w:t>®</w:t>
      </w:r>
      <w:r w:rsidR="00B64BED" w:rsidRPr="3053755D">
        <w:rPr>
          <w:lang w:val="es-ES"/>
        </w:rPr>
        <w:t>)</w:t>
      </w:r>
      <w:r w:rsidRPr="3053755D">
        <w:rPr>
          <w:lang w:val="es-ES"/>
        </w:rPr>
        <w:t xml:space="preserve"> deben ser enviadas directamente a QCS por escrito y acompañadas de documentación de respaldo. La apelación escrita debe proporcionar suficientes </w:t>
      </w:r>
      <w:r w:rsidRPr="3053755D">
        <w:rPr>
          <w:lang w:val="es-ES"/>
        </w:rPr>
        <w:lastRenderedPageBreak/>
        <w:t>detalles y describir el problema de la operación. Una apelación escrita debe ser presentada dentro de los 30 días de la recepción de la notificación o anuncio público del estado de certificación.</w:t>
      </w:r>
    </w:p>
    <w:p w14:paraId="67E9372E" w14:textId="597E3360" w:rsidR="001F51D1" w:rsidRPr="00FE7F19" w:rsidRDefault="227E1361" w:rsidP="00337BBD">
      <w:pPr>
        <w:spacing w:line="240" w:lineRule="auto"/>
        <w:rPr>
          <w:rFonts w:eastAsia="Calibri"/>
          <w:lang w:val="es"/>
        </w:rPr>
      </w:pPr>
      <w:r w:rsidRPr="00FE7F19">
        <w:rPr>
          <w:rFonts w:eastAsia="Calibri"/>
          <w:lang w:val="es"/>
        </w:rPr>
        <w:t>QCS acusa recibo de todas las apelaciones. QCS luego confirma si la apelación se relaciona con actividades de certificación.</w:t>
      </w:r>
    </w:p>
    <w:p w14:paraId="1A6EF3AB" w14:textId="456EE817" w:rsidR="001F51D1" w:rsidRPr="00F91DD0" w:rsidRDefault="227E1361" w:rsidP="3053755D">
      <w:pPr>
        <w:spacing w:line="240" w:lineRule="auto"/>
        <w:rPr>
          <w:rFonts w:eastAsia="Calibri"/>
          <w:lang w:val="es-ES"/>
        </w:rPr>
      </w:pPr>
      <w:r w:rsidRPr="3053755D">
        <w:rPr>
          <w:rFonts w:eastAsia="Calibri"/>
          <w:lang w:val="es-ES"/>
        </w:rPr>
        <w:t xml:space="preserve">El </w:t>
      </w:r>
      <w:proofErr w:type="gramStart"/>
      <w:r w:rsidRPr="3053755D">
        <w:rPr>
          <w:rFonts w:eastAsia="Calibri"/>
          <w:lang w:val="es-ES"/>
        </w:rPr>
        <w:t>Director</w:t>
      </w:r>
      <w:proofErr w:type="gramEnd"/>
      <w:r w:rsidRPr="3053755D">
        <w:rPr>
          <w:rFonts w:eastAsia="Calibri"/>
          <w:lang w:val="es-ES"/>
        </w:rPr>
        <w:t xml:space="preserve"> del Programa Orgánico o su designado lleva a cabo una investigación de la apelación. De manera confidencial y oportuna, el investigador es responsable de recopilar y verificar toda la información necesaria (en la medida de lo posible) para avanzar la apelación hacia una decisión. La carga de establecer la invalidez de una decisión de certificación recae en el apelante. Si un operador certificado se niega a cooperar en una investigación, QCS puede considerar esto como causa suficiente para la denegación de la apelación.</w:t>
      </w:r>
    </w:p>
    <w:p w14:paraId="544B6294" w14:textId="0D62A2CD" w:rsidR="001F51D1" w:rsidRPr="00F91DD0" w:rsidRDefault="227E1361" w:rsidP="3053755D">
      <w:pPr>
        <w:spacing w:line="240" w:lineRule="auto"/>
        <w:rPr>
          <w:rFonts w:eastAsia="Calibri"/>
          <w:lang w:val="es-ES"/>
        </w:rPr>
      </w:pPr>
      <w:r w:rsidRPr="3053755D">
        <w:rPr>
          <w:rFonts w:eastAsia="Calibri"/>
          <w:lang w:val="es-ES"/>
        </w:rPr>
        <w:t>La decisión que resuelve la apelación la toma una persona que no estuvo involucrada en las actividades de certificación iniciales (es decir, pre-revisión, inspección, decisión previa) relacionadas con la apelación.</w:t>
      </w:r>
    </w:p>
    <w:p w14:paraId="76ABF81E" w14:textId="2DBAB29D" w:rsidR="001F51D1" w:rsidRPr="00F91DD0" w:rsidRDefault="227E1361" w:rsidP="00337BBD">
      <w:pPr>
        <w:spacing w:line="240" w:lineRule="auto"/>
        <w:rPr>
          <w:rFonts w:eastAsia="Calibri"/>
          <w:lang w:val="es"/>
        </w:rPr>
      </w:pPr>
      <w:r w:rsidRPr="00FE7F19">
        <w:rPr>
          <w:rFonts w:eastAsia="Calibri"/>
          <w:lang w:val="es"/>
        </w:rPr>
        <w:t>Si QCS mantiene la apelación de un solicitante de certificación o de una operación certificada sobre la decisión de QCS, al solicitante se le otorga la certificación orgánica, una operación certificada continúa su certificación, o se levantan las medidas aplicables según corresponda a la operación. Si QCS niega una apelación: a) La medida que fue apelada sigue en efecto. b) Para el Régimen Orgánico de Canadá: suspender, revocar y/o cancelar la certificación según corresponda; y</w:t>
      </w:r>
    </w:p>
    <w:p w14:paraId="5C34A203" w14:textId="6878AA2A" w:rsidR="001F51D1" w:rsidRPr="00F91DD0" w:rsidRDefault="227E1361" w:rsidP="00337BBD">
      <w:pPr>
        <w:spacing w:line="240" w:lineRule="auto"/>
        <w:rPr>
          <w:rFonts w:eastAsia="Calibri"/>
          <w:lang w:val="es"/>
        </w:rPr>
      </w:pPr>
      <w:r w:rsidRPr="00FE7F19">
        <w:rPr>
          <w:rFonts w:eastAsia="Calibri"/>
          <w:lang w:val="es"/>
        </w:rPr>
        <w:t>QCS mantiene un registro de todas las apelaciones. QCS proporciona un aviso formal del resultado de la apelación al apelante.</w:t>
      </w:r>
    </w:p>
    <w:p w14:paraId="0A075416" w14:textId="5703E2EE" w:rsidR="001F51D1" w:rsidRDefault="227E1361" w:rsidP="3053755D">
      <w:pPr>
        <w:spacing w:line="240" w:lineRule="auto"/>
        <w:rPr>
          <w:rFonts w:eastAsia="Calibri"/>
          <w:lang w:val="es-ES"/>
        </w:rPr>
      </w:pPr>
      <w:r w:rsidRPr="3053755D">
        <w:rPr>
          <w:rFonts w:eastAsia="Calibri"/>
          <w:lang w:val="es-ES"/>
        </w:rPr>
        <w:t>Para el programa COR, una vez tomada la decisión final de la apelación, QCS comunica los siguientes pasos al titular del certificado en caso de que el titular no esté satisfecho con el proceso de apelación de CB, el titular del certificado puede presentar una queja contra QCS ante el CAEQ.</w:t>
      </w:r>
    </w:p>
    <w:p w14:paraId="041CAC52" w14:textId="015E00A1" w:rsidR="00C234E9" w:rsidRPr="00FE7F19" w:rsidRDefault="00C234E9" w:rsidP="00337BBD">
      <w:pPr>
        <w:spacing w:line="240" w:lineRule="auto"/>
        <w:rPr>
          <w:rFonts w:eastAsia="Calibri"/>
          <w:lang w:val="es"/>
        </w:rPr>
      </w:pPr>
      <w:r>
        <w:rPr>
          <w:rFonts w:eastAsia="Calibri"/>
          <w:lang w:val="es"/>
        </w:rPr>
        <w:t>Para el programa Regenerative Organic Certified</w:t>
      </w:r>
      <w:r w:rsidR="00B64BED">
        <w:rPr>
          <w:rFonts w:eastAsia="Calibri"/>
        </w:rPr>
        <w:t xml:space="preserve">®, </w:t>
      </w:r>
      <w:r w:rsidR="00A54E97">
        <w:rPr>
          <w:rFonts w:eastAsia="Calibri"/>
        </w:rPr>
        <w:t xml:space="preserve">las </w:t>
      </w:r>
      <w:r w:rsidR="00B64BED">
        <w:rPr>
          <w:rFonts w:eastAsia="Calibri"/>
        </w:rPr>
        <w:t xml:space="preserve">apelcaciones </w:t>
      </w:r>
      <w:r w:rsidR="00A54E97">
        <w:rPr>
          <w:rFonts w:eastAsia="Calibri"/>
        </w:rPr>
        <w:t>están permitidas y deben realizarse y manejarse de acuerdo con el Manual</w:t>
      </w:r>
      <w:r w:rsidR="00B33E05">
        <w:rPr>
          <w:rFonts w:eastAsia="Calibri"/>
        </w:rPr>
        <w:t xml:space="preserve"> de Regenerative Organic Certified® para Organismos Cartificadores. </w:t>
      </w:r>
    </w:p>
    <w:p w14:paraId="5806FE36" w14:textId="265434F0" w:rsidR="003B58AC" w:rsidRDefault="003B58AC" w:rsidP="00337BBD">
      <w:pPr>
        <w:rPr>
          <w:rFonts w:eastAsia="Times New Roman"/>
          <w:color w:val="000000"/>
          <w:lang w:val="es-419"/>
        </w:rPr>
      </w:pPr>
      <w:r>
        <w:rPr>
          <w:rFonts w:eastAsia="Times New Roman"/>
          <w:color w:val="000000"/>
          <w:lang w:val="es-419"/>
        </w:rPr>
        <w:br w:type="page"/>
      </w:r>
    </w:p>
    <w:p w14:paraId="0A5E26A1" w14:textId="009C92E4" w:rsidR="00CF204E" w:rsidRPr="00F91DD0" w:rsidRDefault="227E1361" w:rsidP="00ED6BFD">
      <w:pPr>
        <w:pStyle w:val="Heading1"/>
        <w:spacing w:before="0" w:after="240" w:line="240" w:lineRule="auto"/>
        <w:rPr>
          <w:szCs w:val="40"/>
          <w:lang w:val="es-419"/>
        </w:rPr>
      </w:pPr>
      <w:bookmarkStart w:id="85" w:name="_Toc474161821"/>
      <w:bookmarkStart w:id="86" w:name="_Toc474161847"/>
      <w:bookmarkStart w:id="87" w:name="_Toc500935066"/>
      <w:bookmarkStart w:id="88" w:name="_Toc159414646"/>
      <w:r w:rsidRPr="227E1361">
        <w:rPr>
          <w:szCs w:val="40"/>
        </w:rPr>
        <w:lastRenderedPageBreak/>
        <w:t>0</w:t>
      </w:r>
      <w:r w:rsidR="006001CF">
        <w:rPr>
          <w:szCs w:val="40"/>
        </w:rPr>
        <w:t>9</w:t>
      </w:r>
      <w:r w:rsidRPr="227E1361">
        <w:rPr>
          <w:szCs w:val="40"/>
        </w:rPr>
        <w:t xml:space="preserve"> </w:t>
      </w:r>
      <w:bookmarkEnd w:id="84"/>
      <w:bookmarkEnd w:id="85"/>
      <w:bookmarkEnd w:id="86"/>
      <w:bookmarkEnd w:id="87"/>
      <w:r w:rsidRPr="227E1361">
        <w:rPr>
          <w:szCs w:val="40"/>
        </w:rPr>
        <w:t>Querellas</w:t>
      </w:r>
      <w:bookmarkEnd w:id="88"/>
    </w:p>
    <w:p w14:paraId="26347BE7" w14:textId="5FE8F5A9" w:rsidR="00902CE3" w:rsidRPr="00F91DD0" w:rsidRDefault="227E1361" w:rsidP="00337BBD">
      <w:pPr>
        <w:rPr>
          <w:lang w:val="es-419"/>
        </w:rPr>
      </w:pPr>
      <w:r>
        <w:t>Las querellas pueden ser presentadas por organismos de acreditación; entidades gubernamentales, operaciones certificadas, partes interesadas o el público en general. Todas las querellas deben ser presentadas por escrito. Cuando se recibe una querella, QCS acusa recibo, confirma si la querella se relaciona con las actividades de certificación orgánica de QCS y determina si una investigación está justificada. QCS investiga todas las querellas y solicitudes de investigación de los organismos de acreditación y las notificaciones de irregularidades de la Comisión Europea. QCS no realiza una investigación oficial de una querella anónima o no oficial. QCS se reserva el derecho de desestimar las querellas de una persona cuyo cumplimiento oficial anterior sobre el mismo tema ha sido considerado infundado, y las querellas sin evidencia suficiente para justificarla. QCS mantiene un registro de todas las querellas y acciones tomadas para resolverlas.</w:t>
      </w:r>
    </w:p>
    <w:p w14:paraId="7E5B06EA" w14:textId="44F9ED0E" w:rsidR="00C62C1F" w:rsidRPr="00F91DD0" w:rsidRDefault="227E1361" w:rsidP="00337BBD">
      <w:pPr>
        <w:rPr>
          <w:lang w:val="es-419"/>
        </w:rPr>
      </w:pPr>
      <w:r>
        <w:t xml:space="preserve">Las investigaciones son realizadas por el Chief Operating Officer/Program </w:t>
      </w:r>
      <w:proofErr w:type="gramStart"/>
      <w:r>
        <w:t>Director</w:t>
      </w:r>
      <w:proofErr w:type="gramEnd"/>
      <w:r>
        <w:t xml:space="preserve"> o sus designados. El investigador reúne y verifica toda la información necesaria, en la medida de lo posible, de manera oportuna para tomar una decisión. La decisión final de resolver una querella es hecha, revisada o aprobada por una persona calificada que no participó en las actividades de certificación relacionadas con la querella; y quién está calificado para tomar decisiones de certificación. Siempre que sea posible, QCS notificará formalmente el resultado del proceso de querella al demandante.</w:t>
      </w:r>
    </w:p>
    <w:p w14:paraId="5F83088F" w14:textId="1ED2AD70" w:rsidR="00902CE3" w:rsidRPr="00F91DD0" w:rsidRDefault="227E1361" w:rsidP="00337BBD">
      <w:pPr>
        <w:rPr>
          <w:lang w:val="es-419"/>
        </w:rPr>
      </w:pPr>
      <w:r>
        <w:t>QCS realiza investigaciones de forma confidencial y en base a evidencia documentada. Si un cliente se niega a cooperar con una investigación, QCS puede considerar esta causa suficiente para comenzar procedimientos de acción adversos contra el cliente que podrían conducir a la denegación, suspensión o revocación de su certificación, según corresponda.</w:t>
      </w:r>
      <w:r w:rsidR="00C2598D">
        <w:t xml:space="preserve"> </w:t>
      </w:r>
    </w:p>
    <w:p w14:paraId="6FD33823" w14:textId="335F57AC" w:rsidR="00CF204E" w:rsidRPr="00C20222" w:rsidRDefault="227E1361" w:rsidP="007C4F17">
      <w:pPr>
        <w:pStyle w:val="Heading2"/>
      </w:pPr>
      <w:r w:rsidRPr="00C20222">
        <w:t>Querellas</w:t>
      </w:r>
      <w:r w:rsidR="00ED6BFD" w:rsidRPr="00C20222">
        <w:t xml:space="preserve"> </w:t>
      </w:r>
      <w:r w:rsidRPr="00C20222">
        <w:t>- Operaciones certificadas bajo</w:t>
      </w:r>
      <w:r w:rsidR="00ED6BFD" w:rsidRPr="00C20222">
        <w:t xml:space="preserve"> USDA</w:t>
      </w:r>
      <w:r w:rsidRPr="00C20222">
        <w:t xml:space="preserve"> NOP</w:t>
      </w:r>
    </w:p>
    <w:p w14:paraId="151D8503" w14:textId="4708D456" w:rsidR="00CF204E" w:rsidRPr="00F91DD0" w:rsidRDefault="227E1361" w:rsidP="00337BBD">
      <w:pPr>
        <w:rPr>
          <w:rFonts w:eastAsia="Times New Roman"/>
          <w:lang w:val="es-419"/>
        </w:rPr>
      </w:pPr>
      <w:r w:rsidRPr="227E1361">
        <w:rPr>
          <w:rFonts w:eastAsia="Times New Roman"/>
        </w:rPr>
        <w:t xml:space="preserve">QCS puede investigar querellas de incumplimiento con sus operadores certificados NOP. QCS debe notificar al USDA NOP de todos los procedimientos de incumplimiento y acciones tomadas de conformidad con las actividades de la querella. El funcionario estatal que gobierna un programa orgánico estatal también puede investigar querellas de incumplimiento con respecto a la producción orgánica o las operaciones de manejo que operan en el estado de ese funcionario. </w:t>
      </w:r>
    </w:p>
    <w:p w14:paraId="5C5CE66B" w14:textId="7764284D" w:rsidR="00E66C5C" w:rsidRPr="00C20222" w:rsidRDefault="227E1361" w:rsidP="007C4F17">
      <w:pPr>
        <w:pStyle w:val="Heading2"/>
      </w:pPr>
      <w:r w:rsidRPr="00C20222">
        <w:t>Querellas – Programa OPT Ganado Orgánico Alimentado con Pasto</w:t>
      </w:r>
    </w:p>
    <w:p w14:paraId="0E6E37D2" w14:textId="15F65C4E" w:rsidR="00E66C5C" w:rsidRPr="00F91DD0" w:rsidRDefault="227E1361" w:rsidP="00337BBD">
      <w:pPr>
        <w:rPr>
          <w:rFonts w:eastAsia="Calibri"/>
          <w:lang w:val="es-419"/>
        </w:rPr>
      </w:pPr>
      <w:r w:rsidRPr="227E1361">
        <w:rPr>
          <w:rFonts w:eastAsia="Calibri"/>
        </w:rPr>
        <w:t xml:space="preserve">Las querellas contra las operaciones certificadas por OPT y los organismos de certificación acreditados son manejadas por el gerente del programa OPT. Los organismos certificadores acreditados por OPT y las operaciones certificadas bajo este programa deben cooperar con el gerente del programa OPT con respecto a cualquier investigación. </w:t>
      </w:r>
    </w:p>
    <w:p w14:paraId="0F7ACFB2" w14:textId="6FF0FC6E" w:rsidR="00A211B3" w:rsidRPr="00C20222" w:rsidRDefault="227E1361" w:rsidP="007C4F17">
      <w:pPr>
        <w:pStyle w:val="Heading2"/>
      </w:pPr>
      <w:r w:rsidRPr="00C20222">
        <w:t xml:space="preserve">Querellas – Operaciones certificadas bajo </w:t>
      </w:r>
      <w:r w:rsidR="00A24C2A" w:rsidRPr="00C20222">
        <w:t>UE</w:t>
      </w:r>
    </w:p>
    <w:p w14:paraId="35D64A5C" w14:textId="48FEFD55" w:rsidR="00902CE3" w:rsidRPr="00F91DD0" w:rsidRDefault="004A2FA2" w:rsidP="00C20222">
      <w:pPr>
        <w:rPr>
          <w:shd w:val="clear" w:color="auto" w:fill="FFFFFF"/>
          <w:lang w:val="es-419"/>
        </w:rPr>
      </w:pPr>
      <w:r w:rsidRPr="00F91DD0">
        <w:rPr>
          <w:shd w:val="clear" w:color="auto" w:fill="FFFFFF"/>
          <w:lang w:val="es-419"/>
        </w:rPr>
        <w:t xml:space="preserve">QCS puede suspender temporalmente la emisión de certificados de transacción al recibir una </w:t>
      </w:r>
      <w:r w:rsidR="00ED6BFD" w:rsidRPr="00F91DD0">
        <w:rPr>
          <w:shd w:val="clear" w:color="auto" w:fill="FFFFFF"/>
          <w:lang w:val="es-419"/>
        </w:rPr>
        <w:t>querella</w:t>
      </w:r>
      <w:r w:rsidRPr="00F91DD0">
        <w:rPr>
          <w:shd w:val="clear" w:color="auto" w:fill="FFFFFF"/>
          <w:lang w:val="es-419"/>
        </w:rPr>
        <w:t xml:space="preserve"> que indique que un producto o lote de productos no se produjo de acuerdo con los requisitos de producción de la </w:t>
      </w:r>
      <w:r w:rsidRPr="00263222">
        <w:rPr>
          <w:rFonts w:cstheme="minorHAnsi"/>
          <w:shd w:val="clear" w:color="auto" w:fill="FFFFFF"/>
          <w:lang w:val="es-419"/>
        </w:rPr>
        <w:t>UE</w:t>
      </w:r>
      <w:r w:rsidR="00AC0758" w:rsidRPr="00263222">
        <w:rPr>
          <w:rStyle w:val="FootnoteReference"/>
          <w:rFonts w:asciiTheme="minorHAnsi" w:hAnsiTheme="minorHAnsi" w:cstheme="minorHAnsi"/>
          <w:shd w:val="clear" w:color="auto" w:fill="FFFFFF"/>
          <w:lang w:val="es-419"/>
        </w:rPr>
        <w:footnoteReference w:id="33"/>
      </w:r>
      <w:r w:rsidRPr="00F91DD0">
        <w:rPr>
          <w:shd w:val="clear" w:color="auto" w:fill="FFFFFF"/>
          <w:lang w:val="es-419"/>
        </w:rPr>
        <w:t xml:space="preserve">. La suspensión temporal tendrá una duración de la investigación, hasta un máximo de 90 días. </w:t>
      </w:r>
      <w:r w:rsidRPr="00F91DD0">
        <w:rPr>
          <w:shd w:val="clear" w:color="auto" w:fill="FFFFFF"/>
          <w:lang w:val="es-419"/>
        </w:rPr>
        <w:lastRenderedPageBreak/>
        <w:t xml:space="preserve">Todas las notificaciones de irregularidades de la Comisión Europea, </w:t>
      </w:r>
      <w:r w:rsidR="00AF2E03" w:rsidRPr="00F91DD0">
        <w:rPr>
          <w:rFonts w:eastAsia="Calibri"/>
          <w:lang w:val="es-419"/>
        </w:rPr>
        <w:t xml:space="preserve">Organic Farming Information System </w:t>
      </w:r>
      <w:r w:rsidRPr="00F91DD0">
        <w:rPr>
          <w:shd w:val="clear" w:color="auto" w:fill="FFFFFF"/>
          <w:lang w:val="es-419"/>
        </w:rPr>
        <w:t>(OFIS) son tratadas como que</w:t>
      </w:r>
      <w:r w:rsidR="00BE3C29" w:rsidRPr="00F91DD0">
        <w:rPr>
          <w:shd w:val="clear" w:color="auto" w:fill="FFFFFF"/>
          <w:lang w:val="es-419"/>
        </w:rPr>
        <w:t>rell</w:t>
      </w:r>
      <w:r w:rsidRPr="00F91DD0">
        <w:rPr>
          <w:shd w:val="clear" w:color="auto" w:fill="FFFFFF"/>
          <w:lang w:val="es-419"/>
        </w:rPr>
        <w:t>as e investigadas. QCS presenta un resumen de la investigación a la Comisión Europea dentro de los 30 días posteriores a la recepción del aviso de irregularidad</w:t>
      </w:r>
      <w:r w:rsidR="00902CE3" w:rsidRPr="00F91DD0">
        <w:rPr>
          <w:rFonts w:eastAsia="Calibri"/>
          <w:lang w:val="es-419"/>
        </w:rPr>
        <w:t>.</w:t>
      </w:r>
    </w:p>
    <w:p w14:paraId="7F13AE83" w14:textId="11EFD1B5" w:rsidR="00CF204E" w:rsidRPr="00C20222" w:rsidRDefault="227E1361" w:rsidP="007C4F17">
      <w:pPr>
        <w:pStyle w:val="Heading2"/>
      </w:pPr>
      <w:r w:rsidRPr="00C20222">
        <w:t>Querellas contra QCS</w:t>
      </w:r>
    </w:p>
    <w:p w14:paraId="6FEC0070" w14:textId="53E151A0" w:rsidR="00582001" w:rsidRPr="00F91DD0" w:rsidRDefault="227E1361" w:rsidP="00337BBD">
      <w:pPr>
        <w:rPr>
          <w:rFonts w:eastAsia="Times New Roman"/>
          <w:lang w:val="es-419"/>
        </w:rPr>
      </w:pPr>
      <w:r w:rsidRPr="227E1361">
        <w:rPr>
          <w:rFonts w:eastAsia="Calibri"/>
        </w:rPr>
        <w:t>Si la querella es contra los servicios de QCS, QCS investiga el asunto y, si se encuentra válido, toma las medidas correctivas y preventivas apropiadas y la resolución de cualquier deficiencia encontrada en productos o servicios. Estas acciones son tomadas, documentadas y el demandante notificado del resultado.</w:t>
      </w:r>
      <w:r w:rsidRPr="227E1361">
        <w:rPr>
          <w:rFonts w:eastAsia="Times New Roman"/>
        </w:rPr>
        <w:t xml:space="preserve"> </w:t>
      </w:r>
    </w:p>
    <w:p w14:paraId="29E0FA5A" w14:textId="2742776F" w:rsidR="0021029E" w:rsidRDefault="0021029E" w:rsidP="00337BBD">
      <w:pPr>
        <w:rPr>
          <w:rFonts w:eastAsia="Times New Roman"/>
          <w:lang w:val="es-419"/>
        </w:rPr>
      </w:pPr>
      <w:r>
        <w:rPr>
          <w:rFonts w:eastAsia="Times New Roman"/>
          <w:lang w:val="es-419"/>
        </w:rPr>
        <w:br w:type="page"/>
      </w:r>
    </w:p>
    <w:p w14:paraId="4BD9A9CB" w14:textId="49982B6D" w:rsidR="00CF204E" w:rsidRPr="00F91DD0" w:rsidRDefault="006001CF" w:rsidP="00ED6BFD">
      <w:pPr>
        <w:pStyle w:val="Heading1"/>
        <w:spacing w:before="0" w:after="240" w:line="240" w:lineRule="auto"/>
        <w:rPr>
          <w:lang w:val="es-419"/>
        </w:rPr>
      </w:pPr>
      <w:bookmarkStart w:id="89" w:name="_Toc424898874"/>
      <w:bookmarkStart w:id="90" w:name="_Toc474161822"/>
      <w:bookmarkStart w:id="91" w:name="_Toc474161848"/>
      <w:bookmarkStart w:id="92" w:name="_Toc500935067"/>
      <w:bookmarkStart w:id="93" w:name="_Toc159414647"/>
      <w:r>
        <w:rPr>
          <w:szCs w:val="40"/>
        </w:rPr>
        <w:lastRenderedPageBreak/>
        <w:t>10</w:t>
      </w:r>
      <w:r w:rsidR="227E1361" w:rsidRPr="227E1361">
        <w:rPr>
          <w:szCs w:val="40"/>
        </w:rPr>
        <w:t xml:space="preserve"> </w:t>
      </w:r>
      <w:bookmarkEnd w:id="89"/>
      <w:bookmarkEnd w:id="90"/>
      <w:bookmarkEnd w:id="91"/>
      <w:bookmarkEnd w:id="92"/>
      <w:r w:rsidR="227E1361" w:rsidRPr="227E1361">
        <w:rPr>
          <w:szCs w:val="40"/>
        </w:rPr>
        <w:t>Muestreo y Análisis de Productos Agrícolas</w:t>
      </w:r>
      <w:bookmarkEnd w:id="93"/>
    </w:p>
    <w:p w14:paraId="42BC335C" w14:textId="26C10D82" w:rsidR="00021025" w:rsidRPr="00475AAD" w:rsidRDefault="227E1361" w:rsidP="00337BBD">
      <w:pPr>
        <w:rPr>
          <w:rFonts w:eastAsia="Calibri"/>
          <w:lang w:val="es-ES"/>
        </w:rPr>
      </w:pPr>
      <w:r w:rsidRPr="227E1361">
        <w:rPr>
          <w:rFonts w:eastAsia="Calibri"/>
        </w:rPr>
        <w:t xml:space="preserve">QCS realiza muestreos y pruebas de insumos o productos agrícolas (p. Ej., Suelo, agua, desechos, semillas, </w:t>
      </w:r>
      <w:proofErr w:type="gramStart"/>
      <w:r w:rsidRPr="227E1361">
        <w:rPr>
          <w:rFonts w:eastAsia="Calibri"/>
        </w:rPr>
        <w:t>tejidos vegetales y productos vegetales</w:t>
      </w:r>
      <w:proofErr w:type="gramEnd"/>
      <w:r w:rsidRPr="227E1361">
        <w:rPr>
          <w:rFonts w:eastAsia="Calibri"/>
        </w:rPr>
        <w:t>, animales y alimentos procesados) para detectar residuos de pesticidas o contaminantes ambientales, según lo exija la norma orgánica, y cuando exista razón para creer que el insumo o producto agrícola ha entrado en contacto con una sustancia prohibida o se ha producido utilizando métodos excluidos.</w:t>
      </w:r>
      <w:r w:rsidR="00C2598D">
        <w:rPr>
          <w:rFonts w:eastAsia="Calibri"/>
        </w:rPr>
        <w:t xml:space="preserve"> </w:t>
      </w:r>
    </w:p>
    <w:p w14:paraId="5CBDAA72" w14:textId="7933FF55" w:rsidR="00CF204E" w:rsidRPr="00475AAD" w:rsidRDefault="227E1361" w:rsidP="00337BBD">
      <w:pPr>
        <w:rPr>
          <w:rFonts w:eastAsia="Calibri"/>
        </w:rPr>
      </w:pPr>
      <w:r w:rsidRPr="227E1361">
        <w:rPr>
          <w:rFonts w:eastAsia="Calibri"/>
        </w:rPr>
        <w:t xml:space="preserve">La recolección de la muestra debe ser realizada por un inspector que represente al Administrador, el (los) organismo (s) de acreditación correspondiente (s), el funcionario estatal que rige el programa orgánico estatal correspondiente o el agente certificador. La integridad de la muestra debe mantenerse a lo largo de la cadena de custodia, y las pruebas </w:t>
      </w:r>
      <w:r w:rsidRPr="00FE7F19">
        <w:t xml:space="preserve">de residuos deben realizarse en un laboratorio acreditado ISO/IEC 17025. El análisis químico debe realizarse de acuerdo con los métodos descritos en la edición más reciente de los </w:t>
      </w:r>
      <w:r w:rsidRPr="00FE7F19">
        <w:rPr>
          <w:u w:val="single"/>
          <w:lang w:val="es"/>
        </w:rPr>
        <w:t xml:space="preserve">Métodos Oficiales de Análisis de AOAC Internacional </w:t>
      </w:r>
      <w:r w:rsidRPr="00FE7F19">
        <w:t xml:space="preserve">u otra metodología validada vigente que determine la presencia de contaminantes en productos agrícolas. </w:t>
      </w:r>
    </w:p>
    <w:p w14:paraId="15BA06D2" w14:textId="07F5E678" w:rsidR="00CF204E" w:rsidRPr="00B309AA" w:rsidRDefault="227E1361" w:rsidP="001536EC">
      <w:pPr>
        <w:pStyle w:val="Heading2"/>
        <w:rPr>
          <w:rFonts w:eastAsia="Calibri"/>
          <w:lang w:val="es-ES"/>
        </w:rPr>
      </w:pPr>
      <w:r w:rsidRPr="227E1361">
        <w:rPr>
          <w:rFonts w:eastAsia="Calibri"/>
        </w:rPr>
        <w:t>Factores considerados para el muestreo</w:t>
      </w:r>
    </w:p>
    <w:p w14:paraId="1AB991C5" w14:textId="5E8B989B" w:rsidR="00B309AA" w:rsidRPr="00B309AA" w:rsidRDefault="227E1361" w:rsidP="00337BBD">
      <w:pPr>
        <w:rPr>
          <w:rFonts w:eastAsia="Times New Roman"/>
          <w:lang w:val="es-ES"/>
        </w:rPr>
      </w:pPr>
      <w:r w:rsidRPr="227E1361">
        <w:rPr>
          <w:rFonts w:eastAsia="Tahoma,Calibri"/>
        </w:rPr>
        <w:t>El muestreo y los análisis se pueden (se exigirán, en el caso de las certificaciones de la UE) realizar en las siguientes situaciones:</w:t>
      </w:r>
    </w:p>
    <w:p w14:paraId="57523BD7" w14:textId="77777777" w:rsidR="00B309AA" w:rsidRDefault="227E1361" w:rsidP="002735CF">
      <w:pPr>
        <w:pStyle w:val="ListParagraph"/>
        <w:numPr>
          <w:ilvl w:val="0"/>
          <w:numId w:val="16"/>
        </w:numPr>
        <w:contextualSpacing w:val="0"/>
        <w:rPr>
          <w:rFonts w:eastAsia="Times New Roman"/>
          <w:lang w:val="es-ES"/>
        </w:rPr>
      </w:pPr>
      <w:r w:rsidRPr="227E1361">
        <w:rPr>
          <w:rFonts w:eastAsia="Times New Roman"/>
        </w:rPr>
        <w:t>Los datos ambientales conocidos indican que la operación se encuentra en un área de alta contaminación química o ambiental (es decir, pesticidas, desechos peligrosos, microorganismos de importancia para la salud pública).</w:t>
      </w:r>
    </w:p>
    <w:p w14:paraId="6C61D304" w14:textId="64E63801" w:rsidR="00CF204E" w:rsidRPr="009C1DE7" w:rsidRDefault="227E1361" w:rsidP="002735CF">
      <w:pPr>
        <w:pStyle w:val="ListParagraph"/>
        <w:numPr>
          <w:ilvl w:val="0"/>
          <w:numId w:val="16"/>
        </w:numPr>
        <w:contextualSpacing w:val="0"/>
        <w:rPr>
          <w:rFonts w:eastAsia="Times New Roman"/>
          <w:lang w:val="es-ES"/>
        </w:rPr>
      </w:pPr>
      <w:r w:rsidRPr="227E1361">
        <w:rPr>
          <w:rFonts w:eastAsia="Times New Roman"/>
        </w:rPr>
        <w:t>Sospecha o evidencia de exposición a materiales prohibidos a través de medios indirectos tales como rociado, deriva, uso de insumos contaminados, agua o suelo contaminado.</w:t>
      </w:r>
    </w:p>
    <w:p w14:paraId="55E4892E" w14:textId="5225DAF4" w:rsidR="009C1DE7" w:rsidRPr="00DF3FCF" w:rsidRDefault="227E1361" w:rsidP="002735CF">
      <w:pPr>
        <w:pStyle w:val="ListParagraph"/>
        <w:numPr>
          <w:ilvl w:val="0"/>
          <w:numId w:val="16"/>
        </w:numPr>
        <w:contextualSpacing w:val="0"/>
        <w:rPr>
          <w:rFonts w:eastAsia="Times New Roman"/>
          <w:lang w:val="es-ES"/>
        </w:rPr>
      </w:pPr>
      <w:r w:rsidRPr="227E1361">
        <w:rPr>
          <w:rFonts w:eastAsia="Times New Roman"/>
        </w:rPr>
        <w:t>QCS recibe una querella por escrito (será en caso de certificaciones COR).</w:t>
      </w:r>
    </w:p>
    <w:p w14:paraId="2F62C13C" w14:textId="114D91C5" w:rsidR="00CF204E" w:rsidRPr="009C1DE7" w:rsidRDefault="227E1361" w:rsidP="002735CF">
      <w:pPr>
        <w:pStyle w:val="ListParagraph"/>
        <w:numPr>
          <w:ilvl w:val="0"/>
          <w:numId w:val="16"/>
        </w:numPr>
        <w:contextualSpacing w:val="0"/>
        <w:rPr>
          <w:rFonts w:eastAsia="Times New Roman"/>
          <w:lang w:val="es-ES"/>
        </w:rPr>
      </w:pPr>
      <w:r w:rsidRPr="227E1361">
        <w:rPr>
          <w:rFonts w:eastAsia="Times New Roman"/>
        </w:rPr>
        <w:t>Se reciben resultados positivos de los análisis de muestras de una operación, o seguimiento de los resultados positivos de las pruebas del gobierno federal, estatal o local.</w:t>
      </w:r>
    </w:p>
    <w:p w14:paraId="6F2073CB" w14:textId="5B4415A9" w:rsidR="00BD64CC" w:rsidRPr="009F6980" w:rsidRDefault="227E1361" w:rsidP="001536EC">
      <w:pPr>
        <w:pStyle w:val="Heading2"/>
        <w:rPr>
          <w:rFonts w:eastAsia="Calibri"/>
          <w:lang w:val="es-ES"/>
        </w:rPr>
      </w:pPr>
      <w:r w:rsidRPr="227E1361">
        <w:rPr>
          <w:rFonts w:eastAsia="Calibri"/>
        </w:rPr>
        <w:t>Tipos de Muestreo y Análisis</w:t>
      </w:r>
    </w:p>
    <w:p w14:paraId="144B7A60" w14:textId="08911BA4" w:rsidR="002B22B8" w:rsidRPr="00BD64CC" w:rsidRDefault="227E1361" w:rsidP="00337BBD">
      <w:pPr>
        <w:rPr>
          <w:rFonts w:eastAsia="Calibri"/>
          <w:lang w:val="es-ES"/>
        </w:rPr>
      </w:pPr>
      <w:r w:rsidRPr="227E1361">
        <w:rPr>
          <w:rFonts w:eastAsia="Calibri"/>
        </w:rPr>
        <w:t>Dentro de los rangos reconocidos de las limitaciones analíticas, QCS puede requerir las siguientes pruebas:</w:t>
      </w:r>
    </w:p>
    <w:p w14:paraId="2EA27876" w14:textId="37B7879C" w:rsidR="002B22B8" w:rsidRPr="00767DF6" w:rsidRDefault="227E1361" w:rsidP="002735CF">
      <w:pPr>
        <w:pStyle w:val="ListParagraph"/>
        <w:numPr>
          <w:ilvl w:val="0"/>
          <w:numId w:val="17"/>
        </w:numPr>
        <w:contextualSpacing w:val="0"/>
        <w:rPr>
          <w:rFonts w:eastAsia="Calibri"/>
          <w:lang w:val="es-ES"/>
        </w:rPr>
      </w:pPr>
      <w:r w:rsidRPr="227E1361">
        <w:rPr>
          <w:rFonts w:eastAsia="Calibri"/>
        </w:rPr>
        <w:t>Análisis de muestras de suelo para macronutrientes, micronutrientes y condiciones agronómicas.</w:t>
      </w:r>
    </w:p>
    <w:p w14:paraId="29F41A90" w14:textId="4235F149" w:rsidR="002B22B8" w:rsidRPr="009F6980" w:rsidRDefault="227E1361" w:rsidP="002735CF">
      <w:pPr>
        <w:pStyle w:val="ListParagraph"/>
        <w:numPr>
          <w:ilvl w:val="0"/>
          <w:numId w:val="17"/>
        </w:numPr>
        <w:contextualSpacing w:val="0"/>
        <w:rPr>
          <w:rFonts w:eastAsia="Calibri"/>
          <w:lang w:val="es-ES"/>
        </w:rPr>
      </w:pPr>
      <w:r w:rsidRPr="227E1361">
        <w:rPr>
          <w:rFonts w:eastAsia="Calibri"/>
        </w:rPr>
        <w:t>Análisis de muestras de suelo para plaguicidas de hidrocarburos clorados, organofosfatos, nitratos y residuos de PCB.</w:t>
      </w:r>
    </w:p>
    <w:p w14:paraId="3F29BC41" w14:textId="4D42B7DA" w:rsidR="009F6980" w:rsidRDefault="227E1361" w:rsidP="002735CF">
      <w:pPr>
        <w:pStyle w:val="ListParagraph"/>
        <w:numPr>
          <w:ilvl w:val="0"/>
          <w:numId w:val="17"/>
        </w:numPr>
        <w:contextualSpacing w:val="0"/>
        <w:rPr>
          <w:rFonts w:eastAsia="Calibri"/>
          <w:lang w:val="es-ES"/>
        </w:rPr>
      </w:pPr>
      <w:r w:rsidRPr="227E1361">
        <w:rPr>
          <w:rFonts w:eastAsia="Calibri"/>
        </w:rPr>
        <w:t>Análisis de muestras de materias primas para residuos de plaguicidas</w:t>
      </w:r>
    </w:p>
    <w:p w14:paraId="2024F0F4" w14:textId="74076160" w:rsidR="002B22B8" w:rsidRPr="0029638D" w:rsidRDefault="227E1361" w:rsidP="002735CF">
      <w:pPr>
        <w:pStyle w:val="ListParagraph"/>
        <w:numPr>
          <w:ilvl w:val="0"/>
          <w:numId w:val="17"/>
        </w:numPr>
        <w:contextualSpacing w:val="0"/>
        <w:rPr>
          <w:rFonts w:eastAsia="Calibri"/>
          <w:lang w:val="es-ES"/>
        </w:rPr>
      </w:pPr>
      <w:r w:rsidRPr="227E1361">
        <w:rPr>
          <w:rFonts w:eastAsia="Calibri"/>
        </w:rPr>
        <w:t>Análisis de muestra de producto procesado para residuos de pesticidas.</w:t>
      </w:r>
    </w:p>
    <w:p w14:paraId="443C9682" w14:textId="68371027" w:rsidR="002B22B8" w:rsidRPr="007C02EB" w:rsidRDefault="227E1361" w:rsidP="002735CF">
      <w:pPr>
        <w:pStyle w:val="ListParagraph"/>
        <w:numPr>
          <w:ilvl w:val="0"/>
          <w:numId w:val="17"/>
        </w:numPr>
        <w:contextualSpacing w:val="0"/>
      </w:pPr>
      <w:r w:rsidRPr="227E1361">
        <w:rPr>
          <w:rFonts w:eastAsia="Tahoma,Calibri"/>
        </w:rPr>
        <w:t>Pruebas de tejido.</w:t>
      </w:r>
    </w:p>
    <w:p w14:paraId="6366D935" w14:textId="610C2A64" w:rsidR="002B22B8" w:rsidRPr="007C02EB" w:rsidRDefault="227E1361" w:rsidP="002735CF">
      <w:pPr>
        <w:pStyle w:val="ListParagraph"/>
        <w:numPr>
          <w:ilvl w:val="0"/>
          <w:numId w:val="17"/>
        </w:numPr>
        <w:contextualSpacing w:val="0"/>
        <w:rPr>
          <w:rFonts w:eastAsia="Calibri"/>
        </w:rPr>
      </w:pPr>
      <w:r w:rsidRPr="227E1361">
        <w:rPr>
          <w:rFonts w:eastAsia="Tahoma,Calibri"/>
        </w:rPr>
        <w:t>Pruebas de OMG.</w:t>
      </w:r>
    </w:p>
    <w:p w14:paraId="6CA0BD41" w14:textId="2A2BFF14" w:rsidR="002B22B8" w:rsidRPr="00777705" w:rsidRDefault="227E1361" w:rsidP="00337BBD">
      <w:pPr>
        <w:rPr>
          <w:rFonts w:eastAsia="Calibri"/>
          <w:lang w:val="es-ES"/>
        </w:rPr>
      </w:pPr>
      <w:r w:rsidRPr="227E1361">
        <w:rPr>
          <w:rFonts w:eastAsia="Calibri"/>
        </w:rPr>
        <w:t xml:space="preserve">Además de estas pruebas de rutina, QCS puede requerir pruebas selectivas adicionales cuando las circunstancias y / o condiciones consideren que dicha acción es apropiada. Con mayor frecuencia, estas pruebas se seleccionan de la amplia gama de procedimientos de análisis obligatorios de la EPA para </w:t>
      </w:r>
      <w:r w:rsidRPr="227E1361">
        <w:rPr>
          <w:rFonts w:eastAsia="Calibri"/>
        </w:rPr>
        <w:lastRenderedPageBreak/>
        <w:t>productos químicos de desecho peligrosos y metales pesados, o de los procedimientos del Departamento de Salud para la identificación de patógenos y otros peligros para la salud.</w:t>
      </w:r>
    </w:p>
    <w:p w14:paraId="35D5A5B6" w14:textId="5AF221CC" w:rsidR="000F1A94" w:rsidRPr="000F1A94" w:rsidRDefault="227E1361" w:rsidP="001536EC">
      <w:pPr>
        <w:pStyle w:val="Heading2"/>
        <w:rPr>
          <w:rFonts w:eastAsia="Calibri"/>
          <w:lang w:val="es-ES"/>
        </w:rPr>
      </w:pPr>
      <w:r w:rsidRPr="227E1361">
        <w:rPr>
          <w:rFonts w:eastAsia="Calibri"/>
        </w:rPr>
        <w:t>Costos de los Análisis</w:t>
      </w:r>
    </w:p>
    <w:p w14:paraId="7E6B9B88" w14:textId="3F97996F" w:rsidR="002B22B8" w:rsidRDefault="227E1361" w:rsidP="00337BBD">
      <w:pPr>
        <w:rPr>
          <w:rFonts w:eastAsia="Calibri"/>
          <w:lang w:val="es-ES"/>
        </w:rPr>
      </w:pPr>
      <w:r w:rsidRPr="227E1361">
        <w:rPr>
          <w:rFonts w:eastAsia="Calibri"/>
        </w:rPr>
        <w:t xml:space="preserve">En el caso de que QCS realice análisis de muestras para cumplir con los requisitos del estándar orgánico, QCS correrá con el costo de las pruebas. Sin embargo, cuando el </w:t>
      </w:r>
      <w:r w:rsidR="00C04921">
        <w:rPr>
          <w:rFonts w:eastAsia="Calibri"/>
        </w:rPr>
        <w:t>Plan de sistema orgánico</w:t>
      </w:r>
      <w:r w:rsidRPr="227E1361">
        <w:rPr>
          <w:rFonts w:eastAsia="Calibri"/>
        </w:rPr>
        <w:t xml:space="preserve"> de una operación enumera las sustancias que se utilizarán como insumos de producción o manipulación los cuales tienen una restricción asociada con el uso de dicha sustancia, como los micronutrientes sintéticos que requieren una deficiencia documentada, el costo de las pruebas asociadas con el cumplimiento de la restricción especificada en la normativa corre por cuenta de la operación. El muestreo y los análisis descritos en un acuerdo de resolución de una operación certificada bajo NOP, para verificar la implementación de acciones correctivas, correrán a cargo de la entidad certificada.</w:t>
      </w:r>
    </w:p>
    <w:p w14:paraId="4284AF19" w14:textId="49F07255" w:rsidR="00112D91" w:rsidRPr="00112D91" w:rsidRDefault="227E1361" w:rsidP="001536EC">
      <w:pPr>
        <w:pStyle w:val="Heading2"/>
        <w:rPr>
          <w:rFonts w:eastAsia="Calibri"/>
          <w:lang w:val="es-ES"/>
        </w:rPr>
      </w:pPr>
      <w:r w:rsidRPr="227E1361">
        <w:rPr>
          <w:rFonts w:eastAsia="Calibri"/>
        </w:rPr>
        <w:t>Resultados de los Análisis</w:t>
      </w:r>
    </w:p>
    <w:p w14:paraId="43C9E017" w14:textId="4B6569A0" w:rsidR="002B22B8" w:rsidRPr="00964C7E" w:rsidRDefault="227E1361" w:rsidP="00337BBD">
      <w:pPr>
        <w:rPr>
          <w:rFonts w:eastAsia="Calibri"/>
          <w:lang w:val="es-ES"/>
        </w:rPr>
      </w:pPr>
      <w:r w:rsidRPr="227E1361">
        <w:rPr>
          <w:rFonts w:eastAsia="Calibri"/>
        </w:rPr>
        <w:t xml:space="preserve">Para las certificaciones NOP, los niveles de un pesticida prohibido no deben exceder el 5% de la tolerancia establecida por </w:t>
      </w:r>
      <w:r w:rsidRPr="00FE7F19">
        <w:rPr>
          <w:lang w:val="es"/>
        </w:rPr>
        <w:t>la Agencia de Protección Ambiental</w:t>
      </w:r>
      <w:r w:rsidRPr="00FE7F19">
        <w:t xml:space="preserve"> (EPA), o exceder los niveles de acción de la FDA donde no se establece la tolerancia de la EPA, si el producto en cuestión debe etiquetars</w:t>
      </w:r>
      <w:r w:rsidRPr="227E1361">
        <w:rPr>
          <w:rFonts w:eastAsia="Calibri"/>
        </w:rPr>
        <w:t>e como orgánico. Los productos con residuos de sustancias prohibidas en cantidades prohibidas (como por contaminación no intencional) no pueden venderse, etiquetarse ni representarse como orgánicos. El Administrador, el funcionario estatal que rige el programa orgánico estatal correspondiente, los organismos de acreditación correspondientes o QCS pueden realizar una investigación de la operación certificada para determinar la causa de la sustancia prohibida. Cualquier persona que viole intencionalmente el</w:t>
      </w:r>
      <w:r w:rsidRPr="00FE7F19">
        <w:t xml:space="preserve"> </w:t>
      </w:r>
      <w:r w:rsidRPr="00FE7F19">
        <w:rPr>
          <w:lang w:val="es"/>
        </w:rPr>
        <w:t xml:space="preserve">Ley de Producción de Alimentos Orgánicos de 1990 (OFPA) </w:t>
      </w:r>
      <w:r w:rsidRPr="00FE7F19">
        <w:t>puede recibir una multa de hasta la cantidad especificada en 7 CFR 205.662 (g). Una persona que se ve afectada negativamente por una acción de un funcionario federal o estatal o una organización certificadora puede apelar la acción. QCS puede monitorear el cumplimie</w:t>
      </w:r>
      <w:r w:rsidRPr="227E1361">
        <w:rPr>
          <w:rFonts w:eastAsia="Calibri"/>
        </w:rPr>
        <w:t>nto mediante inspecciones in situ, anunciadas o no, y exigiendo pruebas de residuos con el costo a cargo de QCS u otra agencia reguladora. Si QCS encuentra una causa justa, la certificación puede suspenderse o revocarse. Los funcionarios reguladores pueden investigar querellas, denuncias y / o violaciones de la ley mediante pruebas de residuos o cualquier otra investigación apropiada. QCS divulga cualquier información solicitada a los funcionarios reguladores agrícolas.</w:t>
      </w:r>
    </w:p>
    <w:p w14:paraId="4652DA62" w14:textId="73F87999" w:rsidR="002B22B8" w:rsidRPr="002D1496" w:rsidRDefault="002D1496" w:rsidP="00337BBD">
      <w:pPr>
        <w:rPr>
          <w:rFonts w:eastAsia="Times New Roman"/>
          <w:lang w:val="es-ES"/>
        </w:rPr>
      </w:pPr>
      <w:r w:rsidRPr="227E1361">
        <w:t xml:space="preserve">Para las certificaciones </w:t>
      </w:r>
      <w:r w:rsidR="00510D13" w:rsidRPr="227E1361">
        <w:t xml:space="preserve">bajo </w:t>
      </w:r>
      <w:r w:rsidRPr="227E1361">
        <w:t>COR, los niveles de un pesticida prohibido no deben exceder los límites</w:t>
      </w:r>
      <w:r w:rsidR="000B2214" w:rsidRPr="227E1361">
        <w:t xml:space="preserve"> </w:t>
      </w:r>
      <w:r w:rsidRPr="227E1361">
        <w:t>establecidos</w:t>
      </w:r>
      <w:r w:rsidR="000B2214" w:rsidRPr="227E1361">
        <w:t xml:space="preserve"> </w:t>
      </w:r>
      <w:r w:rsidR="00CC51A3" w:rsidRPr="227E1361">
        <w:t>por</w:t>
      </w:r>
      <w:r w:rsidR="00C2598D">
        <w:t xml:space="preserve"> </w:t>
      </w:r>
      <w:r w:rsidR="227E1361" w:rsidRPr="00FE7F19">
        <w:rPr>
          <w:lang w:val="es"/>
        </w:rPr>
        <w:t>la Agencia Reguladora de Manejo de Plagas de Health Canada (</w:t>
      </w:r>
      <w:r w:rsidR="00265517">
        <w:rPr>
          <w:lang w:val="es"/>
        </w:rPr>
        <w:t xml:space="preserve">Pest Management Regulatory Agency, </w:t>
      </w:r>
      <w:r w:rsidR="227E1361" w:rsidRPr="00FE7F19">
        <w:rPr>
          <w:lang w:val="es"/>
        </w:rPr>
        <w:t xml:space="preserve">PMRA) para el establecimiento de Límites Máximos de Residuos (MRLs) bajo la </w:t>
      </w:r>
      <w:r w:rsidR="227E1361" w:rsidRPr="00FE7F19">
        <w:rPr>
          <w:i/>
          <w:iCs/>
          <w:lang w:val="es"/>
        </w:rPr>
        <w:t>Ley de Productos para el Control de Plagas</w:t>
      </w:r>
      <w:r w:rsidR="227E1361" w:rsidRPr="00FE7F19">
        <w:rPr>
          <w:lang w:val="es"/>
        </w:rPr>
        <w:t xml:space="preserve"> (</w:t>
      </w:r>
      <w:r w:rsidR="002A4067">
        <w:rPr>
          <w:lang w:val="es"/>
        </w:rPr>
        <w:t xml:space="preserve">Pest Control Products Act, </w:t>
      </w:r>
      <w:r w:rsidR="227E1361" w:rsidRPr="00FE7F19">
        <w:rPr>
          <w:lang w:val="es"/>
        </w:rPr>
        <w:t>PCPA)</w:t>
      </w:r>
      <w:r w:rsidR="00CC51A3" w:rsidRPr="227E1361">
        <w:t xml:space="preserve">. </w:t>
      </w:r>
      <w:r w:rsidRPr="227E1361">
        <w:t>Si se observan residuos que exceden el límite establecido por PMRA, se considera que la muestra está en violación del LMR establecido, y QCS y / o la in</w:t>
      </w:r>
      <w:r w:rsidR="00ED6BFD">
        <w:rPr>
          <w:shd w:val="clear" w:color="auto" w:fill="FFFFFF"/>
          <w:lang w:val="es-ES"/>
        </w:rPr>
        <w:t>s</w:t>
      </w:r>
      <w:r w:rsidRPr="002D1496">
        <w:rPr>
          <w:shd w:val="clear" w:color="auto" w:fill="FFFFFF"/>
          <w:lang w:val="es-ES"/>
        </w:rPr>
        <w:t xml:space="preserve">pección de CFIA pueden realizar una investigación de la operación certificada para determinar la causa de la </w:t>
      </w:r>
      <w:r w:rsidR="001B36CF">
        <w:rPr>
          <w:shd w:val="clear" w:color="auto" w:fill="FFFFFF"/>
          <w:lang w:val="es-ES"/>
        </w:rPr>
        <w:t xml:space="preserve">presencia de la </w:t>
      </w:r>
      <w:r w:rsidRPr="002D1496">
        <w:rPr>
          <w:shd w:val="clear" w:color="auto" w:fill="FFFFFF"/>
          <w:lang w:val="es-ES"/>
        </w:rPr>
        <w:t>sustancia prohibida. Los resultados de las pruebas de muestras previas y posteriores a la cosecha</w:t>
      </w:r>
      <w:r w:rsidR="008206E9">
        <w:rPr>
          <w:shd w:val="clear" w:color="auto" w:fill="FFFFFF"/>
          <w:lang w:val="es-ES"/>
        </w:rPr>
        <w:t>, en caso</w:t>
      </w:r>
      <w:r w:rsidRPr="002D1496">
        <w:rPr>
          <w:shd w:val="clear" w:color="auto" w:fill="FFFFFF"/>
          <w:lang w:val="es-ES"/>
        </w:rPr>
        <w:t xml:space="preserve"> de clientes certificados de COR se procesan de acuerdo con la Directiva CFIA 14-01: Procedimiento para el seguimiento de resultados positivos de pruebas de residuos químicos en productos orgánicos</w:t>
      </w:r>
      <w:r w:rsidR="002B22B8" w:rsidRPr="002D1496">
        <w:rPr>
          <w:rFonts w:eastAsia="Times New Roman"/>
          <w:lang w:val="es-ES"/>
        </w:rPr>
        <w:t>.</w:t>
      </w:r>
    </w:p>
    <w:p w14:paraId="402BECB9" w14:textId="1446E6B4" w:rsidR="00226B51" w:rsidRPr="00510D13" w:rsidRDefault="227E1361" w:rsidP="00337BBD">
      <w:pPr>
        <w:spacing w:line="240" w:lineRule="auto"/>
        <w:jc w:val="left"/>
        <w:rPr>
          <w:lang w:val="es"/>
        </w:rPr>
      </w:pPr>
      <w:r w:rsidRPr="00FE7F19">
        <w:rPr>
          <w:lang w:val="es"/>
        </w:rPr>
        <w:t xml:space="preserve">Para certificaciones de la UE, los productos no pueden ser representados como orgánicos si los resultados de análisis de residuos de pesticidas muestran residuos de cualquier sustancia no autorizada </w:t>
      </w:r>
      <w:r w:rsidRPr="00FE7F19">
        <w:rPr>
          <w:lang w:val="es"/>
        </w:rPr>
        <w:lastRenderedPageBreak/>
        <w:t>para uso en producción orgánica para la cual QCS determine que el residuo se debe al fracaso del operador en establecer y mantener medidas precautorias proporcionadas y apropiadas para evitar la contaminación. Además, los productos no pueden ser representados como orgánicos cuando los análisis indican residuos de una o más sustancias autorizadas excediendo el Límite Máximo de Residuos (MRL) establecido por la ley de la UE y/o residuos por encima de 0.015 ppm de una o más sustancias autorizadas para las cuales no hay un MRL establecido por la ley de la UE. QCS investigará la causa de la contaminación si es desconocida</w:t>
      </w:r>
      <w:r w:rsidRPr="227E1361">
        <w:rPr>
          <w:lang w:val="es"/>
        </w:rPr>
        <w:t>.</w:t>
      </w:r>
    </w:p>
    <w:p w14:paraId="79356487" w14:textId="45854DCE" w:rsidR="006E361E" w:rsidRPr="00DF3FCF" w:rsidRDefault="227E1361" w:rsidP="00106A14">
      <w:pPr>
        <w:pStyle w:val="Heading2"/>
        <w:rPr>
          <w:lang w:val="es-ES"/>
        </w:rPr>
      </w:pPr>
      <w:r w:rsidRPr="227E1361">
        <w:t>Muestreo mínimo</w:t>
      </w:r>
      <w:r w:rsidR="003B294C">
        <w:t xml:space="preserve"> –</w:t>
      </w:r>
      <w:r w:rsidR="002F5D90">
        <w:t xml:space="preserve"> </w:t>
      </w:r>
      <w:r w:rsidRPr="227E1361">
        <w:t>NOP</w:t>
      </w:r>
    </w:p>
    <w:p w14:paraId="49E94881" w14:textId="0105AF79" w:rsidR="001A5412" w:rsidRPr="006E361E" w:rsidRDefault="227E1361" w:rsidP="00ED6BFD">
      <w:pPr>
        <w:spacing w:after="120"/>
        <w:rPr>
          <w:rFonts w:eastAsia="Calibri"/>
          <w:lang w:val="es-ES"/>
        </w:rPr>
      </w:pPr>
      <w:r w:rsidRPr="227E1361">
        <w:rPr>
          <w:rFonts w:eastAsia="Calibri"/>
        </w:rPr>
        <w:t xml:space="preserve">QCS debe muestrear y analizar anualmente un mínimo del cinco por ciento de sus operaciones certificadas por NOP. </w:t>
      </w:r>
    </w:p>
    <w:p w14:paraId="5CAEC0C1" w14:textId="1F832E2B" w:rsidR="005A0483" w:rsidRPr="00FE7F19" w:rsidRDefault="227E1361" w:rsidP="007C4F17">
      <w:pPr>
        <w:pStyle w:val="Heading2"/>
        <w:rPr>
          <w:lang w:val="es"/>
        </w:rPr>
      </w:pPr>
      <w:r w:rsidRPr="00FE7F19">
        <w:rPr>
          <w:lang w:val="es"/>
        </w:rPr>
        <w:t xml:space="preserve">Mínimo de Muestreo de Residuos – Requisitos de Certificación </w:t>
      </w:r>
      <w:r w:rsidR="003655E2">
        <w:rPr>
          <w:lang w:val="es"/>
        </w:rPr>
        <w:t>del Reglamento (UE)</w:t>
      </w:r>
      <w:r w:rsidRPr="00FE7F19">
        <w:rPr>
          <w:lang w:val="es"/>
        </w:rPr>
        <w:t xml:space="preserve"> 2018/848</w:t>
      </w:r>
    </w:p>
    <w:p w14:paraId="1D68FA35" w14:textId="4AC025C2" w:rsidR="005A0483" w:rsidRPr="00FE7F19" w:rsidRDefault="227E1361" w:rsidP="00337BBD">
      <w:pPr>
        <w:spacing w:line="240" w:lineRule="auto"/>
        <w:rPr>
          <w:rFonts w:eastAsia="Times New Roman"/>
          <w:lang w:val="es"/>
        </w:rPr>
      </w:pPr>
      <w:r w:rsidRPr="00FE7F19">
        <w:rPr>
          <w:rFonts w:eastAsia="Times New Roman"/>
          <w:lang w:val="es"/>
        </w:rPr>
        <w:t>QCS también realiza anualmente muestreos de, como mínimo, el 5</w:t>
      </w:r>
      <w:r w:rsidRPr="00751DE1">
        <w:rPr>
          <w:rFonts w:eastAsia="Times New Roman" w:cstheme="minorHAnsi"/>
          <w:lang w:val="es"/>
        </w:rPr>
        <w:t>%</w:t>
      </w:r>
      <w:r w:rsidR="00A10B71" w:rsidRPr="00751DE1">
        <w:rPr>
          <w:rStyle w:val="FootnoteReference"/>
          <w:rFonts w:asciiTheme="minorHAnsi" w:eastAsia="Times New Roman" w:hAnsiTheme="minorHAnsi" w:cstheme="minorHAnsi"/>
          <w:lang w:val="es"/>
        </w:rPr>
        <w:footnoteReference w:id="34"/>
      </w:r>
      <w:r w:rsidRPr="00751DE1">
        <w:rPr>
          <w:rFonts w:eastAsia="Times New Roman" w:cstheme="minorHAnsi"/>
          <w:lang w:val="es"/>
        </w:rPr>
        <w:t xml:space="preserve"> </w:t>
      </w:r>
      <w:r w:rsidRPr="00FE7F19">
        <w:rPr>
          <w:rFonts w:eastAsia="Times New Roman"/>
          <w:lang w:val="es"/>
        </w:rPr>
        <w:t>de sus operaciones certificadas en la UE basándose en el riesgo según este estándar. QCS puede tomar muestras si tiene motivos para sospechar que las técnicas de producción no están en cumplimiento con estos estándares o el uso inadvertido o intencional de materiales prohibidos. QCS implementa controles adicionales según lo requiera la Comisión Europea, que pueden incluir muestreos adicionales de productos orgánicos destinados a la exportación a la Unión Europea.</w:t>
      </w:r>
    </w:p>
    <w:p w14:paraId="33231742" w14:textId="2B70D36F" w:rsidR="006E361E" w:rsidRDefault="227E1361" w:rsidP="007C4F17">
      <w:pPr>
        <w:pStyle w:val="Heading2"/>
        <w:rPr>
          <w:lang w:val="es-ES"/>
        </w:rPr>
      </w:pPr>
      <w:r w:rsidRPr="227E1361">
        <w:t>Muestreo Mínimo de Residuos</w:t>
      </w:r>
      <w:r w:rsidR="003B294C">
        <w:t xml:space="preserve"> –</w:t>
      </w:r>
      <w:r w:rsidR="002F5D90">
        <w:t xml:space="preserve"> </w:t>
      </w:r>
      <w:r w:rsidRPr="227E1361">
        <w:t xml:space="preserve">Requisitos de Certificación QCS </w:t>
      </w:r>
      <w:r w:rsidR="00A24C2A">
        <w:t>UE</w:t>
      </w:r>
      <w:r w:rsidRPr="227E1361">
        <w:t xml:space="preserve"> 834-2007</w:t>
      </w:r>
    </w:p>
    <w:p w14:paraId="3EC42DE8" w14:textId="74F160AA" w:rsidR="00CF204E" w:rsidRPr="006E361E" w:rsidRDefault="227E1361" w:rsidP="00337BBD">
      <w:pPr>
        <w:rPr>
          <w:rFonts w:eastAsia="Times New Roman"/>
          <w:b/>
          <w:bCs/>
          <w:lang w:val="es-ES"/>
        </w:rPr>
      </w:pPr>
      <w:r w:rsidRPr="227E1361">
        <w:rPr>
          <w:rFonts w:eastAsia="Times New Roman"/>
        </w:rPr>
        <w:t xml:space="preserve">QCS también realiza anualmente un muestreo de, como mínimo, el 5% de sus operaciones certificadas por la UE en función del riesgo según esta norma. QCS puede tomar muestras si tiene motivos para sospechar que las técnicas de producción no cumplen con estos estándares o el uso involuntario o intencional de materiales prohibidos. </w:t>
      </w:r>
    </w:p>
    <w:p w14:paraId="3C969322" w14:textId="12167451" w:rsidR="00726E2F" w:rsidRPr="00DF3FCF" w:rsidRDefault="227E1361" w:rsidP="007C4F17">
      <w:pPr>
        <w:pStyle w:val="Heading2"/>
        <w:rPr>
          <w:lang w:val="es-ES"/>
        </w:rPr>
      </w:pPr>
      <w:r w:rsidRPr="227E1361">
        <w:t>Muestreo</w:t>
      </w:r>
      <w:r w:rsidR="002F5D90">
        <w:t xml:space="preserve"> </w:t>
      </w:r>
      <w:r w:rsidR="00B80B20">
        <w:t xml:space="preserve">– </w:t>
      </w:r>
      <w:r w:rsidRPr="227E1361">
        <w:t xml:space="preserve">Régimen Orgánico de </w:t>
      </w:r>
      <w:r w:rsidR="00ED6BFD" w:rsidRPr="227E1361">
        <w:t>Canadá</w:t>
      </w:r>
    </w:p>
    <w:p w14:paraId="7269F749" w14:textId="45BB1DCC" w:rsidR="004362FE" w:rsidRPr="00751DE1" w:rsidRDefault="227E1361" w:rsidP="00337BBD">
      <w:pPr>
        <w:spacing w:line="240" w:lineRule="auto"/>
        <w:rPr>
          <w:rFonts w:eastAsia="Tahoma,Times New Roman" w:cstheme="minorHAnsi"/>
          <w:lang w:val="es"/>
        </w:rPr>
      </w:pPr>
      <w:r w:rsidRPr="00FE7F19">
        <w:rPr>
          <w:rFonts w:eastAsia="Tahoma,Times New Roman"/>
          <w:lang w:val="es"/>
        </w:rPr>
        <w:t xml:space="preserve">QCS considera el documento de orientación “Directiva 14-01: Procedimiento para el seguimiento de resultados positivos de residuos químicos en productos orgánicos” y “Residuos químicos y producción orgánica” al seguir cualquier resultado positivo de residuos químicos. QCS también investiga a clientes COR si hay sospechas de que un producto orgánico contiene incluso una cantidad mínima de OGM. QCS requiere muestreo y análisis en caso de sospecha de la presencia de </w:t>
      </w:r>
      <w:r w:rsidRPr="00751DE1">
        <w:rPr>
          <w:rFonts w:eastAsia="Tahoma,Times New Roman" w:cstheme="minorHAnsi"/>
          <w:lang w:val="es"/>
        </w:rPr>
        <w:t>OGM</w:t>
      </w:r>
      <w:r w:rsidR="00A10B71" w:rsidRPr="00751DE1">
        <w:rPr>
          <w:rStyle w:val="FootnoteReference"/>
          <w:rFonts w:asciiTheme="minorHAnsi" w:eastAsia="Tahoma,Times New Roman" w:hAnsiTheme="minorHAnsi" w:cstheme="minorHAnsi"/>
          <w:lang w:val="es"/>
        </w:rPr>
        <w:footnoteReference w:id="35"/>
      </w:r>
      <w:r w:rsidRPr="00751DE1">
        <w:rPr>
          <w:rFonts w:eastAsia="Tahoma,Times New Roman" w:cstheme="minorHAnsi"/>
          <w:lang w:val="es"/>
        </w:rPr>
        <w:t>.</w:t>
      </w:r>
    </w:p>
    <w:p w14:paraId="6BE65314" w14:textId="60425B5C" w:rsidR="00EC7F10" w:rsidRDefault="00EC7F10" w:rsidP="00337BBD">
      <w:bookmarkStart w:id="94" w:name="_Toc277166692"/>
      <w:bookmarkStart w:id="95" w:name="_Toc474161823"/>
      <w:bookmarkStart w:id="96" w:name="_Toc474161849"/>
      <w:bookmarkStart w:id="97" w:name="_Toc500935068"/>
      <w:r>
        <w:br w:type="page"/>
      </w:r>
    </w:p>
    <w:p w14:paraId="702BACA5" w14:textId="6F95BC7F" w:rsidR="00CF204E" w:rsidRPr="00F91DD0" w:rsidRDefault="227E1361" w:rsidP="00ED6BFD">
      <w:pPr>
        <w:pStyle w:val="Heading1"/>
        <w:spacing w:before="0" w:after="240" w:line="240" w:lineRule="auto"/>
        <w:rPr>
          <w:szCs w:val="40"/>
          <w:lang w:val="es-419"/>
        </w:rPr>
      </w:pPr>
      <w:bookmarkStart w:id="98" w:name="_Toc159414648"/>
      <w:r w:rsidRPr="227E1361">
        <w:rPr>
          <w:szCs w:val="40"/>
        </w:rPr>
        <w:lastRenderedPageBreak/>
        <w:t>1</w:t>
      </w:r>
      <w:r w:rsidR="006001CF">
        <w:rPr>
          <w:szCs w:val="40"/>
        </w:rPr>
        <w:t>1</w:t>
      </w:r>
      <w:r w:rsidRPr="227E1361">
        <w:rPr>
          <w:szCs w:val="40"/>
        </w:rPr>
        <w:t xml:space="preserve"> </w:t>
      </w:r>
      <w:bookmarkEnd w:id="94"/>
      <w:bookmarkEnd w:id="95"/>
      <w:bookmarkEnd w:id="96"/>
      <w:bookmarkEnd w:id="97"/>
      <w:r w:rsidRPr="227E1361">
        <w:rPr>
          <w:szCs w:val="40"/>
        </w:rPr>
        <w:t>Revisión de Programas y Normas</w:t>
      </w:r>
      <w:bookmarkEnd w:id="98"/>
    </w:p>
    <w:p w14:paraId="580E3B6E" w14:textId="3B063584" w:rsidR="00C37838" w:rsidRPr="00C37838" w:rsidRDefault="227E1361" w:rsidP="001536EC">
      <w:pPr>
        <w:pStyle w:val="Heading2"/>
        <w:rPr>
          <w:lang w:val="es-ES"/>
        </w:rPr>
      </w:pPr>
      <w:r w:rsidRPr="227E1361">
        <w:t>Sugerencias para la Revisión de Programas</w:t>
      </w:r>
    </w:p>
    <w:p w14:paraId="5FCFEFA6" w14:textId="2840D602" w:rsidR="00C37838" w:rsidRPr="00C37838" w:rsidRDefault="227E1361" w:rsidP="00337BBD">
      <w:pPr>
        <w:rPr>
          <w:rFonts w:eastAsia="Calibri"/>
          <w:lang w:val="es"/>
        </w:rPr>
      </w:pPr>
      <w:r w:rsidRPr="227E1361">
        <w:rPr>
          <w:rFonts w:eastAsia="Calibri"/>
        </w:rPr>
        <w:t>Cualquier parte interesada puede sugerir cambios a las políticas y procedimientos de QCS (que no sean los estándares) a través del Formulario de Sugerencias para la Revisión de Programas que se encuentra a continuación. Este formulario también se puede obtener de la oficina de QCS. La oficina de QCS acusa recibo del formulario</w:t>
      </w:r>
      <w:r w:rsidRPr="00FE7F19">
        <w:t>.</w:t>
      </w:r>
      <w:r w:rsidR="00C2598D">
        <w:t xml:space="preserve"> </w:t>
      </w:r>
      <w:r w:rsidRPr="00FE7F19">
        <w:rPr>
          <w:lang w:val="es"/>
        </w:rPr>
        <w:t>Por favor, incluya el número(s) de documento y sección a la(s) que se aplica(n) la(s) sugerencia(s) de revisión y explique detalladamente la(s) sugerencia(s) de revisión.</w:t>
      </w:r>
    </w:p>
    <w:p w14:paraId="02A5E799" w14:textId="1CC77992" w:rsidR="0064072E" w:rsidRPr="00C37838" w:rsidRDefault="227E1361" w:rsidP="00ED6BFD">
      <w:pPr>
        <w:spacing w:after="120"/>
        <w:rPr>
          <w:rFonts w:eastAsia="Calibri"/>
          <w:lang w:val="es-ES"/>
        </w:rPr>
      </w:pPr>
      <w:r w:rsidRPr="227E1361">
        <w:rPr>
          <w:rFonts w:eastAsia="Calibri"/>
        </w:rPr>
        <w:t xml:space="preserve">Los formularios enviados son revisados por el Program </w:t>
      </w:r>
      <w:proofErr w:type="gramStart"/>
      <w:r w:rsidRPr="227E1361">
        <w:rPr>
          <w:rFonts w:eastAsia="Calibri"/>
        </w:rPr>
        <w:t>Director</w:t>
      </w:r>
      <w:proofErr w:type="gramEnd"/>
      <w:r w:rsidRPr="227E1361">
        <w:rPr>
          <w:rFonts w:eastAsia="Calibri"/>
        </w:rPr>
        <w:t xml:space="preserve">/Chief Operating Officer y / o su designado y toma una decisión dentro de los 60 días posteriores a la recepción del formulario. Todas las entidades certificadas y otras partes de interés son notificadas de cualquier cambio en las políticas o procedimientos de QCS. </w:t>
      </w:r>
    </w:p>
    <w:tbl>
      <w:tblPr>
        <w:tblStyle w:val="TableGrid"/>
        <w:tblW w:w="9360" w:type="dxa"/>
        <w:jc w:val="center"/>
        <w:tblLook w:val="04A0" w:firstRow="1" w:lastRow="0" w:firstColumn="1" w:lastColumn="0" w:noHBand="0" w:noVBand="1"/>
      </w:tblPr>
      <w:tblGrid>
        <w:gridCol w:w="9360"/>
      </w:tblGrid>
      <w:tr w:rsidR="00135651" w:rsidRPr="00A03EA6" w14:paraId="4D177EEC" w14:textId="77777777" w:rsidTr="007C4F17">
        <w:trPr>
          <w:jc w:val="center"/>
        </w:trPr>
        <w:tc>
          <w:tcPr>
            <w:tcW w:w="9350" w:type="dxa"/>
          </w:tcPr>
          <w:p w14:paraId="2AB3C19D" w14:textId="21CC6746" w:rsidR="00135651" w:rsidRPr="00C37838" w:rsidRDefault="227E1361" w:rsidP="00337BBD">
            <w:pPr>
              <w:rPr>
                <w:rFonts w:eastAsia="Calibri"/>
                <w:b/>
                <w:bCs/>
                <w:lang w:val="es-ES"/>
              </w:rPr>
            </w:pPr>
            <w:r w:rsidRPr="227E1361">
              <w:rPr>
                <w:rFonts w:eastAsia="Calibri"/>
                <w:b/>
                <w:bCs/>
              </w:rPr>
              <w:t>Formulario de Sugerencias para la Revisión de Programas</w:t>
            </w:r>
          </w:p>
        </w:tc>
      </w:tr>
      <w:tr w:rsidR="00135651" w14:paraId="6063A611" w14:textId="77777777" w:rsidTr="007C4F17">
        <w:trPr>
          <w:jc w:val="center"/>
        </w:trPr>
        <w:tc>
          <w:tcPr>
            <w:tcW w:w="9350" w:type="dxa"/>
          </w:tcPr>
          <w:p w14:paraId="196D0A3D" w14:textId="40ABDC85" w:rsidR="00135651" w:rsidRPr="00C37838" w:rsidRDefault="227E1361" w:rsidP="00337BBD">
            <w:pPr>
              <w:rPr>
                <w:rFonts w:eastAsia="Calibri"/>
                <w:lang w:val="es-ES"/>
              </w:rPr>
            </w:pPr>
            <w:r w:rsidRPr="227E1361">
              <w:rPr>
                <w:rFonts w:eastAsia="Calibri"/>
              </w:rPr>
              <w:t>Nombre:</w:t>
            </w:r>
          </w:p>
          <w:p w14:paraId="072E8C39" w14:textId="2C38220A" w:rsidR="00135651" w:rsidRPr="00C37838" w:rsidRDefault="227E1361" w:rsidP="00337BBD">
            <w:pPr>
              <w:rPr>
                <w:rFonts w:eastAsia="Calibri"/>
                <w:lang w:val="es-ES"/>
              </w:rPr>
            </w:pPr>
            <w:r w:rsidRPr="227E1361">
              <w:rPr>
                <w:rFonts w:eastAsia="Calibri"/>
              </w:rPr>
              <w:t>Designación: Consumidor, Granjero, Manipulador/Procesamiento de alimentos</w:t>
            </w:r>
          </w:p>
          <w:p w14:paraId="24198640" w14:textId="77777777" w:rsidR="00C37838" w:rsidRPr="00C37838" w:rsidRDefault="227E1361" w:rsidP="00337BBD">
            <w:pPr>
              <w:rPr>
                <w:rFonts w:eastAsia="Calibri"/>
                <w:lang w:val="es-ES"/>
              </w:rPr>
            </w:pPr>
            <w:r w:rsidRPr="227E1361">
              <w:rPr>
                <w:rFonts w:eastAsia="Calibri"/>
              </w:rPr>
              <w:t>Nombre de la operación, si corresponde:</w:t>
            </w:r>
          </w:p>
          <w:p w14:paraId="0CF2F9BE" w14:textId="2752D646" w:rsidR="00135651" w:rsidRDefault="227E1361" w:rsidP="00337BBD">
            <w:pPr>
              <w:rPr>
                <w:rFonts w:eastAsia="Calibri"/>
              </w:rPr>
            </w:pPr>
            <w:r w:rsidRPr="227E1361">
              <w:rPr>
                <w:rFonts w:eastAsia="Calibri"/>
              </w:rPr>
              <w:t>Número de teléfono:</w:t>
            </w:r>
          </w:p>
        </w:tc>
      </w:tr>
    </w:tbl>
    <w:p w14:paraId="70DA2572" w14:textId="523816C5" w:rsidR="00065F7D" w:rsidRPr="00065F7D" w:rsidRDefault="227E1361" w:rsidP="000F012C">
      <w:pPr>
        <w:pStyle w:val="Heading3"/>
        <w:rPr>
          <w:lang w:val="es-ES"/>
        </w:rPr>
      </w:pPr>
      <w:r w:rsidRPr="227E1361">
        <w:t>Sugerencias para la Revisión de los Estándares Industriales Aceptados</w:t>
      </w:r>
    </w:p>
    <w:p w14:paraId="05D43962" w14:textId="508CB1DA" w:rsidR="00135651" w:rsidRPr="00065F7D" w:rsidRDefault="227E1361" w:rsidP="00337BBD">
      <w:pPr>
        <w:rPr>
          <w:rFonts w:eastAsia="Calibri"/>
          <w:lang w:val="es-ES"/>
        </w:rPr>
      </w:pPr>
      <w:r w:rsidRPr="227E1361">
        <w:rPr>
          <w:rFonts w:eastAsia="Calibri"/>
        </w:rPr>
        <w:t>Las peticiones para cambiar los estándares aceptados por la industria (American Organic Standards of the Organic Trade Association (OTA)) deben dirigirse a la OTA en (www.ota.com,(413)774-7511, info@ota.com).</w:t>
      </w:r>
    </w:p>
    <w:p w14:paraId="4CF6C35C" w14:textId="63394541" w:rsidR="00522730" w:rsidRPr="00C41621" w:rsidRDefault="00522730" w:rsidP="007C4F17">
      <w:pPr>
        <w:pStyle w:val="Heading3"/>
        <w:rPr>
          <w:lang w:val="es-ES"/>
        </w:rPr>
      </w:pPr>
      <w:r w:rsidRPr="227E1361">
        <w:rPr>
          <w:lang w:val="es-ES"/>
        </w:rPr>
        <w:t>Revisi</w:t>
      </w:r>
      <w:r w:rsidR="009B72D2" w:rsidRPr="227E1361">
        <w:rPr>
          <w:lang w:val="es-ES"/>
        </w:rPr>
        <w:t>ó</w:t>
      </w:r>
      <w:r w:rsidRPr="227E1361">
        <w:rPr>
          <w:lang w:val="es-ES"/>
        </w:rPr>
        <w:t xml:space="preserve">n </w:t>
      </w:r>
      <w:r w:rsidR="009B72D2" w:rsidRPr="227E1361">
        <w:rPr>
          <w:lang w:val="es-ES"/>
        </w:rPr>
        <w:t>de las Regulaciones</w:t>
      </w:r>
      <w:r w:rsidRPr="227E1361">
        <w:rPr>
          <w:lang w:val="es-ES"/>
        </w:rPr>
        <w:t xml:space="preserve"> QCS NOP</w:t>
      </w:r>
      <w:r w:rsidRPr="004F2478">
        <w:rPr>
          <w:rFonts w:cs="Times New Roman"/>
          <w:vertAlign w:val="superscript"/>
        </w:rPr>
        <w:footnoteReference w:id="36"/>
      </w:r>
    </w:p>
    <w:p w14:paraId="31B17D2F" w14:textId="31F590A6" w:rsidR="00522730" w:rsidRPr="00D42D42" w:rsidRDefault="227E1361" w:rsidP="00337BBD">
      <w:pPr>
        <w:rPr>
          <w:rFonts w:eastAsia="Times New Roman"/>
          <w:lang w:val="es-ES"/>
        </w:rPr>
      </w:pPr>
      <w:r w:rsidRPr="227E1361">
        <w:rPr>
          <w:rFonts w:eastAsia="Times New Roman"/>
        </w:rPr>
        <w:t xml:space="preserve">Las sugerencias de cambios al USDA Organic Regulations / o las peticiones para la inclusión de materiales en National List deben dirigirse al National Organic Standards Board (NOSB) y ser aprobadas por el NOP. Para más información ver 7 CFR 205.607. </w:t>
      </w:r>
    </w:p>
    <w:p w14:paraId="08F897FF" w14:textId="200D59A3" w:rsidR="005D5C28" w:rsidRDefault="227E1361" w:rsidP="007C4F17">
      <w:pPr>
        <w:pStyle w:val="Heading3"/>
        <w:rPr>
          <w:rFonts w:eastAsia="Times New Roman"/>
          <w:lang w:val="es-ES"/>
        </w:rPr>
      </w:pPr>
      <w:r w:rsidRPr="227E1361">
        <w:t>Revisión del Canada Organic Regime</w:t>
      </w:r>
    </w:p>
    <w:p w14:paraId="5013ACF3" w14:textId="68D9B6D8" w:rsidR="00EE7B3F" w:rsidRPr="005D5C28" w:rsidRDefault="227E1361" w:rsidP="00337BBD">
      <w:pPr>
        <w:rPr>
          <w:rFonts w:eastAsia="Calibri"/>
          <w:b/>
          <w:bCs/>
          <w:lang w:val="es-ES"/>
        </w:rPr>
      </w:pPr>
      <w:r w:rsidRPr="227E1361">
        <w:rPr>
          <w:rFonts w:eastAsia="Times New Roman"/>
        </w:rPr>
        <w:t>QCS notifica a todos sus operadores sobre cualquier modificación a las regulaciones o estándares dentro de los dos meses posteriores a su publicación. QCS permite un período de hasta 12 meses después de la fecha de publicación de una enmienda a CAN/CGSB-32.310</w:t>
      </w:r>
      <w:r w:rsidR="00E35E1E">
        <w:rPr>
          <w:rFonts w:eastAsia="Times New Roman"/>
        </w:rPr>
        <w:t>,</w:t>
      </w:r>
      <w:r w:rsidRPr="227E1361">
        <w:rPr>
          <w:rFonts w:eastAsia="Times New Roman"/>
        </w:rPr>
        <w:t xml:space="preserve"> CAN/CGSB-32.311</w:t>
      </w:r>
      <w:r w:rsidR="0035212B">
        <w:rPr>
          <w:rFonts w:eastAsia="Times New Roman"/>
        </w:rPr>
        <w:t>, y CAN/CGSB-32.312</w:t>
      </w:r>
      <w:r w:rsidRPr="227E1361">
        <w:rPr>
          <w:rFonts w:eastAsia="Times New Roman"/>
        </w:rPr>
        <w:t xml:space="preserve"> para que el solicitante/operador cumpla con cualquier cambio en los requisitos</w:t>
      </w:r>
      <w:r w:rsidR="00FD042F">
        <w:rPr>
          <w:rFonts w:eastAsia="Times New Roman"/>
        </w:rPr>
        <w:t>;</w:t>
      </w:r>
      <w:r w:rsidRPr="227E1361">
        <w:rPr>
          <w:rFonts w:eastAsia="Times New Roman"/>
        </w:rPr>
        <w:t xml:space="preserve"> </w:t>
      </w:r>
      <w:r w:rsidR="00FD042F" w:rsidRPr="00FD042F">
        <w:rPr>
          <w:rFonts w:eastAsia="Times New Roman"/>
        </w:rPr>
        <w:t>excepto que un período de implementación</w:t>
      </w:r>
      <w:r w:rsidR="00FD042F" w:rsidRPr="00FD042F" w:rsidDel="0035212B">
        <w:rPr>
          <w:rFonts w:eastAsia="Times New Roman"/>
        </w:rPr>
        <w:t xml:space="preserve"> </w:t>
      </w:r>
      <w:r w:rsidRPr="227E1361">
        <w:rPr>
          <w:rFonts w:eastAsia="Times New Roman"/>
        </w:rPr>
        <w:t xml:space="preserve">período superior a 12 meses </w:t>
      </w:r>
      <w:r w:rsidR="00E636C7" w:rsidRPr="00E636C7">
        <w:rPr>
          <w:rFonts w:eastAsia="Times New Roman"/>
        </w:rPr>
        <w:t xml:space="preserve">sólo se permitirá cuando </w:t>
      </w:r>
      <w:r w:rsidRPr="227E1361">
        <w:rPr>
          <w:rFonts w:eastAsia="Times New Roman"/>
        </w:rPr>
        <w:t>se especifica en las normas.</w:t>
      </w:r>
    </w:p>
    <w:p w14:paraId="70BD2C94" w14:textId="3F9C06A6" w:rsidR="008E66C5" w:rsidRPr="008E66C5" w:rsidRDefault="227E1361" w:rsidP="00755C69">
      <w:pPr>
        <w:pStyle w:val="Heading4"/>
        <w:rPr>
          <w:lang w:val="es-ES"/>
        </w:rPr>
      </w:pPr>
      <w:r w:rsidRPr="227E1361">
        <w:t>Interpretación de las Canada Organic Regime</w:t>
      </w:r>
    </w:p>
    <w:p w14:paraId="07CA3C74" w14:textId="1B540217" w:rsidR="003600DB" w:rsidRPr="00EE0725" w:rsidRDefault="227E1361" w:rsidP="00337BBD">
      <w:pPr>
        <w:rPr>
          <w:rFonts w:eastAsia="Times New Roman"/>
          <w:lang w:val="es-ES"/>
        </w:rPr>
      </w:pPr>
      <w:r w:rsidRPr="227E1361">
        <w:rPr>
          <w:rFonts w:eastAsia="Times New Roman"/>
        </w:rPr>
        <w:t xml:space="preserve">Si QCS o una operación en cualquier momento durante las actividades de certificación requiere una interpretación de </w:t>
      </w:r>
      <w:r w:rsidR="00E636C7">
        <w:rPr>
          <w:rFonts w:eastAsia="Times New Roman"/>
        </w:rPr>
        <w:t>las normas o estándares de COR</w:t>
      </w:r>
      <w:r w:rsidRPr="227E1361">
        <w:rPr>
          <w:rFonts w:eastAsia="Times New Roman"/>
        </w:rPr>
        <w:t>, puede solicitarla a</w:t>
      </w:r>
      <w:r w:rsidR="00E636C7">
        <w:rPr>
          <w:rFonts w:eastAsia="Times New Roman"/>
        </w:rPr>
        <w:t xml:space="preserve"> la Comité de Interpretación de Estándar (</w:t>
      </w:r>
      <w:r w:rsidRPr="227E1361">
        <w:rPr>
          <w:rFonts w:eastAsia="Times New Roman"/>
        </w:rPr>
        <w:t>Standards Interpretation Committee</w:t>
      </w:r>
      <w:r w:rsidR="00E636C7">
        <w:rPr>
          <w:rFonts w:eastAsia="Times New Roman"/>
        </w:rPr>
        <w:t>,</w:t>
      </w:r>
      <w:r w:rsidRPr="227E1361">
        <w:rPr>
          <w:rFonts w:eastAsia="Times New Roman"/>
        </w:rPr>
        <w:t xml:space="preserve"> SIC). de la CFIA. En tales casos, donde ambas partes acuerdan que hay necesidad de interpretación o aclaración y QCS presenta la solicitud de interpretación, </w:t>
      </w:r>
      <w:r w:rsidRPr="227E1361">
        <w:rPr>
          <w:rFonts w:eastAsia="Times New Roman"/>
        </w:rPr>
        <w:lastRenderedPageBreak/>
        <w:t>QCS retiene el incumplimiento que es el tema de la solicitud hasta que se reciba la respuesta del SIC. En estos casos, entre el momento en que se presenta la solicitud de interpretación al SIC y se recibe la respuesta del comité, cualquier trabajo de certificación afectado por la interpretación deberá proceder normalmente, hasta la emisión de los documentos de certificación. Cuando se recibe la respuesta del SIC, se revisa el incumplimiento pendiente y QCS o el operador o ambos toman las medidas apropiadas, según sea necesario. Si el operador requiere cambios para cumplir con la interpretación del SIC, QCS no suspenderá ni retirará ninguna certificación que haya emitido que se vea afectada por esta interpretación siempre que el operador haya realizado los cambios requeridos en un período de tiempo que no sea menor al tiempo permitido para cualquier otro incumplimiento emitido por QCS. En los casos en que QCS y el operador no están de acuerdo en que el problema necesita una interpretación, el QCS se basa en la Parte 1.4 de CAN / CGSB-32.310 o en la Parte 1.4 de CAN / CGSB-32.312 al interpretar el problema. El operador aún puede presentar una querella ante CAEQ sobre QCS y / o solicitar al SIC una interpretación y solicitar una reconsideración del problema en una fecha posterior. Cualquier interpretación proporcionada por el SIC y considerada oficial por la CFIA, QCS informa a todos los operadores de estas interpretaciones.</w:t>
      </w:r>
    </w:p>
    <w:p w14:paraId="1BCCB003" w14:textId="1570E0C9" w:rsidR="005A4B86" w:rsidRPr="005A4B86" w:rsidRDefault="227E1361" w:rsidP="007C4F17">
      <w:pPr>
        <w:pStyle w:val="Heading3"/>
        <w:rPr>
          <w:lang w:val="es-ES"/>
        </w:rPr>
      </w:pPr>
      <w:r w:rsidRPr="227E1361">
        <w:t>Revisión de los Estándares Adicionales</w:t>
      </w:r>
    </w:p>
    <w:p w14:paraId="629BE437" w14:textId="77777777" w:rsidR="00361F4A" w:rsidRDefault="227E1361" w:rsidP="00BF0E5E">
      <w:r w:rsidRPr="227E1361">
        <w:t>Las normas adicionales de QCS requeridas para la exportación se revisan anualmente, o según lo exija el cumplimiento por parte de la Unión Europea y / u otros organismos reguladores.</w:t>
      </w:r>
      <w:r w:rsidR="00ED6BFD">
        <w:t xml:space="preserve"> </w:t>
      </w:r>
    </w:p>
    <w:p w14:paraId="28B72A0E" w14:textId="14538181" w:rsidR="227E1361" w:rsidRDefault="227E1361" w:rsidP="00BF0E5E">
      <w:pPr>
        <w:rPr>
          <w:lang w:val="es"/>
        </w:rPr>
      </w:pPr>
      <w:r w:rsidRPr="227E1361">
        <w:t>El equipo de gestión toma todos los aportes recibid</w:t>
      </w:r>
      <w:r w:rsidRPr="00FE7F19">
        <w:t>os por escrito, los revisa y tiene en cuenta las modificaciones para la próxima publicación de la normativa.</w:t>
      </w:r>
      <w:r w:rsidR="00C2598D">
        <w:t xml:space="preserve"> </w:t>
      </w:r>
      <w:r w:rsidRPr="00FE7F19">
        <w:rPr>
          <w:lang w:val="es"/>
        </w:rPr>
        <w:t xml:space="preserve">El </w:t>
      </w:r>
      <w:proofErr w:type="gramStart"/>
      <w:r w:rsidRPr="00FE7F19">
        <w:rPr>
          <w:lang w:val="es"/>
        </w:rPr>
        <w:t>Director</w:t>
      </w:r>
      <w:proofErr w:type="gramEnd"/>
      <w:r w:rsidRPr="00FE7F19">
        <w:rPr>
          <w:lang w:val="es"/>
        </w:rPr>
        <w:t xml:space="preserve"> Orgánico/</w:t>
      </w:r>
      <w:proofErr w:type="gramStart"/>
      <w:r w:rsidRPr="00FE7F19">
        <w:rPr>
          <w:lang w:val="es"/>
        </w:rPr>
        <w:t>Director</w:t>
      </w:r>
      <w:proofErr w:type="gramEnd"/>
      <w:r w:rsidRPr="00FE7F19">
        <w:rPr>
          <w:lang w:val="es"/>
        </w:rPr>
        <w:t xml:space="preserve"> de Operaciones tiene la aprobación final</w:t>
      </w:r>
      <w:r w:rsidRPr="227E1361">
        <w:rPr>
          <w:lang w:val="es"/>
        </w:rPr>
        <w:t>.</w:t>
      </w:r>
    </w:p>
    <w:p w14:paraId="249DEB34" w14:textId="00380FE9" w:rsidR="009642E4" w:rsidRPr="009642E4" w:rsidRDefault="227E1361" w:rsidP="00BF0E5E">
      <w:pPr>
        <w:rPr>
          <w:lang w:val="es-ES"/>
        </w:rPr>
      </w:pPr>
      <w:r w:rsidRPr="227E1361">
        <w:t xml:space="preserve">En el caso de que los organismos reguladores requieran que QCS revise las normas, el Program </w:t>
      </w:r>
      <w:proofErr w:type="gramStart"/>
      <w:r w:rsidRPr="227E1361">
        <w:t>Director</w:t>
      </w:r>
      <w:proofErr w:type="gramEnd"/>
      <w:r w:rsidRPr="227E1361">
        <w:t xml:space="preserve">/Chief Operating Officer puede actuar individualmente para implementar las normas apropiadas. Las actualizaciones de los estándares se realizan y publican según los plazos establecidos por el organismo de acreditación. Si no se proporcionan fechas específicas, el Program </w:t>
      </w:r>
      <w:proofErr w:type="gramStart"/>
      <w:r w:rsidRPr="227E1361">
        <w:t>Director</w:t>
      </w:r>
      <w:proofErr w:type="gramEnd"/>
      <w:r w:rsidRPr="227E1361">
        <w:t>/Chief Operating Officer, como mínimo, debe permitir un período de implementación de 60 días para todas las normas.</w:t>
      </w:r>
    </w:p>
    <w:p w14:paraId="63D9045E" w14:textId="2BDF013B" w:rsidR="0026143F" w:rsidRPr="009642E4" w:rsidRDefault="227E1361" w:rsidP="00BF0E5E">
      <w:pPr>
        <w:rPr>
          <w:lang w:val="es-ES"/>
        </w:rPr>
      </w:pPr>
      <w:r w:rsidRPr="227E1361">
        <w:t xml:space="preserve">QCS verifica que los estándares estén completamente implementados. En la primera auditoría anual in situ después de la fecha de implementación estándar, se verifica el cumplimiento de las acciones del cliente para cumplir con la implementación estándar. </w:t>
      </w:r>
      <w:bookmarkStart w:id="99" w:name="_Toc474161824"/>
      <w:bookmarkStart w:id="100" w:name="_Toc474161850"/>
      <w:bookmarkStart w:id="101" w:name="_Toc500935069"/>
    </w:p>
    <w:p w14:paraId="1214B5CD" w14:textId="1FFF3EF5" w:rsidR="00EC7F10" w:rsidRDefault="00EC7F10" w:rsidP="00337BBD">
      <w:pPr>
        <w:rPr>
          <w:rFonts w:eastAsia="Times New Roman"/>
          <w:lang w:val="es-ES"/>
        </w:rPr>
      </w:pPr>
      <w:r>
        <w:rPr>
          <w:rFonts w:eastAsia="Times New Roman"/>
          <w:lang w:val="es-ES"/>
        </w:rPr>
        <w:br w:type="page"/>
      </w:r>
    </w:p>
    <w:p w14:paraId="3F8F4021" w14:textId="59A8494F" w:rsidR="0026143F" w:rsidRPr="00F91DD0" w:rsidRDefault="227E1361" w:rsidP="00ED6BFD">
      <w:pPr>
        <w:pStyle w:val="Heading1"/>
        <w:spacing w:before="0" w:after="240" w:line="240" w:lineRule="auto"/>
        <w:rPr>
          <w:lang w:val="es-419"/>
        </w:rPr>
      </w:pPr>
      <w:bookmarkStart w:id="102" w:name="_Toc159414649"/>
      <w:r w:rsidRPr="227E1361">
        <w:rPr>
          <w:szCs w:val="40"/>
        </w:rPr>
        <w:lastRenderedPageBreak/>
        <w:t>1</w:t>
      </w:r>
      <w:r w:rsidR="006001CF">
        <w:rPr>
          <w:szCs w:val="40"/>
        </w:rPr>
        <w:t>2</w:t>
      </w:r>
      <w:r w:rsidRPr="227E1361">
        <w:rPr>
          <w:szCs w:val="40"/>
        </w:rPr>
        <w:t xml:space="preserve"> Tarifas</w:t>
      </w:r>
      <w:bookmarkEnd w:id="102"/>
    </w:p>
    <w:p w14:paraId="002522AE" w14:textId="508E7030" w:rsidR="0026143F" w:rsidRPr="00361F4A" w:rsidRDefault="00775267" w:rsidP="001536EC">
      <w:pPr>
        <w:pStyle w:val="Heading2"/>
        <w:rPr>
          <w:lang w:val="es-ES"/>
        </w:rPr>
      </w:pPr>
      <w:bookmarkStart w:id="103" w:name="_Toc277166693"/>
      <w:bookmarkStart w:id="104" w:name="_Toc424898880"/>
      <w:bookmarkStart w:id="105" w:name="_Toc424899275"/>
      <w:r w:rsidRPr="227E1361">
        <w:rPr>
          <w:lang w:val="es-ES"/>
        </w:rPr>
        <w:t>Tasas de Certificación</w:t>
      </w:r>
      <w:r w:rsidR="0026143F" w:rsidRPr="00AD024B">
        <w:rPr>
          <w:u w:val="none"/>
          <w:vertAlign w:val="superscript"/>
        </w:rPr>
        <w:footnoteReference w:id="37"/>
      </w:r>
      <w:bookmarkEnd w:id="103"/>
      <w:bookmarkEnd w:id="104"/>
      <w:bookmarkEnd w:id="105"/>
    </w:p>
    <w:p w14:paraId="2BB02855" w14:textId="1F486B7D" w:rsidR="0026143F" w:rsidRPr="00775267" w:rsidRDefault="227E1361" w:rsidP="00337BBD">
      <w:pPr>
        <w:rPr>
          <w:rFonts w:eastAsia="Calibri"/>
          <w:lang w:val="es-ES"/>
        </w:rPr>
      </w:pPr>
      <w:r w:rsidRPr="227E1361">
        <w:rPr>
          <w:rFonts w:eastAsia="Calibri"/>
        </w:rPr>
        <w:t>Los programas de tarifas QCS apropiados para el alcance de la certificación se proporcionan a los solicitantes.</w:t>
      </w:r>
    </w:p>
    <w:p w14:paraId="3442583E" w14:textId="3561574A" w:rsidR="00411208" w:rsidRPr="00DF3FCF" w:rsidRDefault="227E1361" w:rsidP="001536EC">
      <w:pPr>
        <w:pStyle w:val="Heading2"/>
        <w:rPr>
          <w:lang w:val="es-ES"/>
        </w:rPr>
      </w:pPr>
      <w:r w:rsidRPr="227E1361">
        <w:t>Estructura de Tarifas</w:t>
      </w:r>
    </w:p>
    <w:p w14:paraId="4DC73AE4" w14:textId="6A56F78E" w:rsidR="0026143F" w:rsidRPr="00411208" w:rsidRDefault="227E1361" w:rsidP="00337BBD">
      <w:pPr>
        <w:rPr>
          <w:rFonts w:eastAsia="Calibri"/>
          <w:lang w:val="es-ES"/>
        </w:rPr>
      </w:pPr>
      <w:r w:rsidRPr="227E1361">
        <w:rPr>
          <w:rFonts w:eastAsia="Calibri"/>
        </w:rPr>
        <w:t xml:space="preserve">Las tarifas se evalúan periódicamente y están sujetas a cambios. Consulte el Programa de tarifas de QCS para conocer las tarifas correspondientes. Si un solicitante retira su solicitud antes de que el inspector haya sido asignado, se le reembolsará la mitad de la tarifa de certificación. Si un solicitante retira su solicitud después de que el inspector haya sido asignado, el solicitante no es elegible para un reembolso. Los solicitantes que son elegibles para un reembolso deben enviar una solicitud por escrito a la oficina de QCS para el reembolso. </w:t>
      </w:r>
    </w:p>
    <w:p w14:paraId="0DCE95A2" w14:textId="1EFFDA9F" w:rsidR="00AE7883" w:rsidRPr="00AE7883" w:rsidRDefault="227E1361" w:rsidP="002C01B1">
      <w:pPr>
        <w:pStyle w:val="Heading2"/>
        <w:rPr>
          <w:rFonts w:eastAsia="Calibri"/>
          <w:lang w:val="es-ES"/>
        </w:rPr>
      </w:pPr>
      <w:r w:rsidRPr="227E1361">
        <w:rPr>
          <w:rFonts w:eastAsia="Calibri"/>
        </w:rPr>
        <w:t>Certificados de Transacción</w:t>
      </w:r>
    </w:p>
    <w:p w14:paraId="5ED11A8F" w14:textId="26DAE971" w:rsidR="0026143F" w:rsidRPr="001F3BB8" w:rsidRDefault="227E1361" w:rsidP="00337BBD">
      <w:pPr>
        <w:rPr>
          <w:rFonts w:eastAsia="Calibri"/>
          <w:lang w:val="es-ES"/>
        </w:rPr>
      </w:pPr>
      <w:r w:rsidRPr="227E1361">
        <w:rPr>
          <w:rFonts w:eastAsia="Calibri"/>
        </w:rPr>
        <w:t>Los certificados de transacción están disponibles para entidades certificadas que exportan productos orgánicos certificados. Las tarifas de los certificados de transacción se describen en la Tabla de tarifas de QCS. Cualquier costo administrativo adicional (es decir, llamadas telefónicas internacionales) puede cargarse a la parte correspondiente.</w:t>
      </w:r>
    </w:p>
    <w:p w14:paraId="46BEBE16" w14:textId="0275FA04" w:rsidR="0026143F" w:rsidRPr="00514337" w:rsidRDefault="227E1361" w:rsidP="002C01B1">
      <w:pPr>
        <w:pStyle w:val="Heading2"/>
        <w:rPr>
          <w:rFonts w:eastAsia="Calibri"/>
          <w:lang w:val="es-ES"/>
        </w:rPr>
      </w:pPr>
      <w:r w:rsidRPr="227E1361">
        <w:rPr>
          <w:rFonts w:eastAsia="Calibri"/>
        </w:rPr>
        <w:t>Cargos Adicionales</w:t>
      </w:r>
    </w:p>
    <w:p w14:paraId="1E8F3AAB" w14:textId="007EA697" w:rsidR="0026143F" w:rsidRPr="00514337" w:rsidRDefault="227E1361" w:rsidP="00337BBD">
      <w:pPr>
        <w:rPr>
          <w:rFonts w:eastAsia="Calibri"/>
          <w:lang w:val="es-ES"/>
        </w:rPr>
      </w:pPr>
      <w:r w:rsidRPr="227E1361">
        <w:rPr>
          <w:rFonts w:eastAsia="Calibri"/>
        </w:rPr>
        <w:t xml:space="preserve">Se pueden cobrar tarifas administrativas adicionales por copias, llamadas internacionales o franqueo, certificados de transacciones internacionales y cualquier otro gasto en el que se haya incurrido para atender los servicios requeridos por entidades individuales. A las operaciones que solicitan el servicio adicional se les cobran por el costo real de reproducir y enviar información y llamadas internacionales, así como una tarifa por hora, según el Programa de tarifas QCS para el trabajo finalizado. </w:t>
      </w:r>
    </w:p>
    <w:p w14:paraId="2E83EF53" w14:textId="552E6689" w:rsidR="00E23AEB" w:rsidRPr="00E23AEB" w:rsidRDefault="227E1361" w:rsidP="002C01B1">
      <w:pPr>
        <w:pStyle w:val="Heading2"/>
        <w:rPr>
          <w:lang w:val="es-ES"/>
        </w:rPr>
      </w:pPr>
      <w:r w:rsidRPr="227E1361">
        <w:t>Política de Cobranza</w:t>
      </w:r>
    </w:p>
    <w:p w14:paraId="72CC86FB" w14:textId="5CE6B374" w:rsidR="0026143F" w:rsidRPr="007C02EB" w:rsidRDefault="227E1361" w:rsidP="00337BBD">
      <w:pPr>
        <w:rPr>
          <w:rFonts w:eastAsia="Calibri" w:cs="Times New Roman"/>
        </w:rPr>
      </w:pPr>
      <w:r w:rsidRPr="227E1361">
        <w:rPr>
          <w:rFonts w:eastAsia="Calibri"/>
        </w:rPr>
        <w:t>Las tarifas de certificación se deben al recibir la solicitud completa. Se requiere un depósito de tarifa de inspección como se describe en la Tabla de tarifas. Las tarifas de inspección adicionales se facturan después de la inspección y deben pagarse dentro de los 15 días posteriores al envío de la factura. La tarifa de inspección debe enviarse a la oficina de QCS. QCS puede emitir un incumplimiento seguido de una acción adversa según corresponda a cualquier operador cuyas tarifas permanezcan sin pagar. Los cheques deben hacerse a nombre de QCS.</w:t>
      </w:r>
      <w:r w:rsidR="00C2598D">
        <w:rPr>
          <w:rFonts w:eastAsia="Calibri"/>
        </w:rPr>
        <w:t xml:space="preserve"> </w:t>
      </w:r>
    </w:p>
    <w:bookmarkEnd w:id="99"/>
    <w:bookmarkEnd w:id="100"/>
    <w:bookmarkEnd w:id="101"/>
    <w:p w14:paraId="09AC223C" w14:textId="32823F88" w:rsidR="000857E0" w:rsidRPr="0026143F" w:rsidRDefault="000857E0" w:rsidP="00337BBD">
      <w:pPr>
        <w:rPr>
          <w:rFonts w:eastAsia="Times New Roman" w:cs="Times New Roman"/>
        </w:rPr>
      </w:pPr>
    </w:p>
    <w:sectPr w:rsidR="000857E0" w:rsidRPr="0026143F" w:rsidSect="00D2406D">
      <w:headerReference w:type="even" r:id="rId66"/>
      <w:headerReference w:type="default" r:id="rId67"/>
      <w:footerReference w:type="even" r:id="rId68"/>
      <w:footerReference w:type="default" r:id="rId69"/>
      <w:pgSz w:w="12240" w:h="15840" w:code="1"/>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18CDB" w14:textId="77777777" w:rsidR="009D1807" w:rsidRDefault="009D1807" w:rsidP="00DC624B">
      <w:r>
        <w:separator/>
      </w:r>
    </w:p>
    <w:p w14:paraId="2975551F" w14:textId="77777777" w:rsidR="009D1807" w:rsidRDefault="009D1807" w:rsidP="00DC624B"/>
  </w:endnote>
  <w:endnote w:type="continuationSeparator" w:id="0">
    <w:p w14:paraId="209C9D54" w14:textId="77777777" w:rsidR="009D1807" w:rsidRDefault="009D1807" w:rsidP="00DC624B">
      <w:r>
        <w:continuationSeparator/>
      </w:r>
    </w:p>
    <w:p w14:paraId="334C588A" w14:textId="77777777" w:rsidR="009D1807" w:rsidRDefault="009D1807" w:rsidP="00DC6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Times New Roman">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TTE2190998t00">
    <w:altName w:val="Times New Roman"/>
    <w:panose1 w:val="00000000000000000000"/>
    <w:charset w:val="4D"/>
    <w:family w:val="auto"/>
    <w:notTrueType/>
    <w:pitch w:val="default"/>
    <w:sig w:usb0="00000003" w:usb1="00000000" w:usb2="00000000" w:usb3="00000000" w:csb0="00000001" w:csb1="00000000"/>
  </w:font>
  <w:font w:name="Formata-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7879" w14:textId="77777777" w:rsidR="003C5F16" w:rsidRDefault="003C5F16" w:rsidP="00F27814">
    <w:pPr>
      <w:pStyle w:val="Footer"/>
    </w:pPr>
  </w:p>
  <w:p w14:paraId="640DA301" w14:textId="77777777" w:rsidR="003C5F16" w:rsidRDefault="003C5F16" w:rsidP="00F278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cstheme="minorBidi"/>
        <w:sz w:val="20"/>
        <w:szCs w:val="20"/>
      </w:rPr>
      <w:id w:val="686033968"/>
      <w:docPartObj>
        <w:docPartGallery w:val="Page Numbers (Bottom of Page)"/>
        <w:docPartUnique/>
      </w:docPartObj>
    </w:sdtPr>
    <w:sdtContent>
      <w:sdt>
        <w:sdtPr>
          <w:rPr>
            <w:rFonts w:ascii="Garamond" w:hAnsi="Garamond" w:cstheme="minorBidi"/>
            <w:sz w:val="20"/>
            <w:szCs w:val="20"/>
          </w:rPr>
          <w:id w:val="-736629852"/>
          <w:docPartObj>
            <w:docPartGallery w:val="Page Numbers (Top of Page)"/>
            <w:docPartUnique/>
          </w:docPartObj>
        </w:sdtPr>
        <w:sdtContent>
          <w:p w14:paraId="06EBD428" w14:textId="4248AC72" w:rsidR="003C5F16" w:rsidRPr="00AC1D0E" w:rsidRDefault="227E1361" w:rsidP="00AC1D0E">
            <w:pPr>
              <w:pStyle w:val="Footer"/>
              <w:tabs>
                <w:tab w:val="clear" w:pos="4320"/>
                <w:tab w:val="clear" w:pos="8640"/>
              </w:tabs>
              <w:jc w:val="center"/>
              <w:rPr>
                <w:rFonts w:ascii="Garamond" w:hAnsi="Garamond" w:cstheme="minorBidi"/>
                <w:sz w:val="20"/>
                <w:szCs w:val="20"/>
              </w:rPr>
            </w:pPr>
            <w:r w:rsidRPr="00AC1D0E">
              <w:rPr>
                <w:rFonts w:ascii="Garamond" w:hAnsi="Garamond" w:cstheme="minorBidi"/>
                <w:sz w:val="20"/>
                <w:szCs w:val="20"/>
              </w:rPr>
              <w:t>1C00_SP, V</w:t>
            </w:r>
            <w:r w:rsidR="003E4202">
              <w:rPr>
                <w:rFonts w:ascii="Garamond" w:hAnsi="Garamond" w:cstheme="minorBidi"/>
                <w:sz w:val="20"/>
                <w:szCs w:val="20"/>
              </w:rPr>
              <w:t>6</w:t>
            </w:r>
            <w:r w:rsidRPr="00AC1D0E">
              <w:rPr>
                <w:rFonts w:ascii="Garamond" w:hAnsi="Garamond" w:cstheme="minorBidi"/>
                <w:sz w:val="20"/>
                <w:szCs w:val="20"/>
              </w:rPr>
              <w:t xml:space="preserve">, </w:t>
            </w:r>
            <w:r w:rsidR="00DE742B">
              <w:rPr>
                <w:rFonts w:ascii="Garamond" w:hAnsi="Garamond" w:cstheme="minorBidi"/>
                <w:sz w:val="20"/>
                <w:szCs w:val="20"/>
              </w:rPr>
              <w:t>R</w:t>
            </w:r>
            <w:r w:rsidR="00F524EF">
              <w:rPr>
                <w:rFonts w:ascii="Garamond" w:hAnsi="Garamond" w:cstheme="minorBidi"/>
                <w:sz w:val="20"/>
                <w:szCs w:val="20"/>
              </w:rPr>
              <w:t>4</w:t>
            </w:r>
            <w:r w:rsidR="00DE742B">
              <w:rPr>
                <w:rFonts w:ascii="Garamond" w:hAnsi="Garamond" w:cstheme="minorBidi"/>
                <w:sz w:val="20"/>
                <w:szCs w:val="20"/>
              </w:rPr>
              <w:t xml:space="preserve">, </w:t>
            </w:r>
            <w:r w:rsidR="00F524EF">
              <w:rPr>
                <w:rFonts w:ascii="Garamond" w:hAnsi="Garamond" w:cstheme="minorBidi"/>
                <w:sz w:val="20"/>
                <w:szCs w:val="20"/>
              </w:rPr>
              <w:t>25/12</w:t>
            </w:r>
            <w:r w:rsidRPr="00AC1D0E">
              <w:rPr>
                <w:rFonts w:ascii="Garamond" w:hAnsi="Garamond" w:cstheme="minorBidi"/>
                <w:sz w:val="20"/>
                <w:szCs w:val="20"/>
              </w:rPr>
              <w:t>/202</w:t>
            </w:r>
            <w:r w:rsidR="00F524EF">
              <w:rPr>
                <w:rFonts w:ascii="Garamond" w:hAnsi="Garamond" w:cstheme="minorBidi"/>
                <w:sz w:val="20"/>
                <w:szCs w:val="20"/>
              </w:rPr>
              <w:t>5</w:t>
            </w:r>
            <w:r w:rsidR="00AC1D0E">
              <w:rPr>
                <w:rFonts w:ascii="Garamond" w:hAnsi="Garamond" w:cstheme="minorBidi"/>
                <w:sz w:val="20"/>
                <w:szCs w:val="20"/>
              </w:rPr>
              <w:t xml:space="preserve"> </w:t>
            </w:r>
            <w:r w:rsidR="003C5F16" w:rsidRPr="00AC1D0E">
              <w:rPr>
                <w:rFonts w:ascii="Garamond" w:hAnsi="Garamond"/>
                <w:sz w:val="20"/>
                <w:szCs w:val="20"/>
              </w:rPr>
              <w:tab/>
            </w:r>
            <w:r w:rsidR="00AC1D0E">
              <w:rPr>
                <w:rFonts w:ascii="Garamond" w:hAnsi="Garamond"/>
                <w:sz w:val="20"/>
                <w:szCs w:val="20"/>
              </w:rPr>
              <w:tab/>
            </w:r>
            <w:r w:rsidR="00AC1D0E">
              <w:rPr>
                <w:rFonts w:ascii="Garamond" w:hAnsi="Garamond"/>
                <w:sz w:val="20"/>
                <w:szCs w:val="20"/>
              </w:rPr>
              <w:tab/>
            </w:r>
            <w:r w:rsidR="00AC1D0E">
              <w:rPr>
                <w:rFonts w:ascii="Garamond" w:hAnsi="Garamond"/>
                <w:sz w:val="20"/>
                <w:szCs w:val="20"/>
              </w:rPr>
              <w:tab/>
            </w:r>
            <w:r w:rsidR="00AC1D0E">
              <w:rPr>
                <w:rFonts w:ascii="Garamond" w:hAnsi="Garamond"/>
                <w:sz w:val="20"/>
                <w:szCs w:val="20"/>
              </w:rPr>
              <w:tab/>
            </w:r>
            <w:r w:rsidR="00AC1D0E">
              <w:rPr>
                <w:rFonts w:ascii="Garamond" w:hAnsi="Garamond"/>
                <w:sz w:val="20"/>
                <w:szCs w:val="20"/>
              </w:rPr>
              <w:tab/>
            </w:r>
            <w:r w:rsidR="00AC1D0E">
              <w:rPr>
                <w:rFonts w:ascii="Garamond" w:hAnsi="Garamond"/>
                <w:sz w:val="20"/>
                <w:szCs w:val="20"/>
              </w:rPr>
              <w:tab/>
            </w:r>
            <w:r w:rsidR="003C5F16" w:rsidRPr="00AC1D0E">
              <w:rPr>
                <w:rFonts w:ascii="Garamond" w:hAnsi="Garamond"/>
                <w:sz w:val="20"/>
                <w:szCs w:val="20"/>
              </w:rPr>
              <w:tab/>
            </w:r>
            <w:r w:rsidRPr="00AC1D0E">
              <w:rPr>
                <w:rFonts w:ascii="Garamond" w:hAnsi="Garamond" w:cstheme="minorBidi"/>
                <w:sz w:val="20"/>
                <w:szCs w:val="20"/>
              </w:rPr>
              <w:t>P</w:t>
            </w:r>
            <w:r w:rsidR="00AC1D0E">
              <w:rPr>
                <w:rFonts w:ascii="Garamond" w:hAnsi="Garamond" w:cstheme="minorBidi"/>
                <w:sz w:val="20"/>
                <w:szCs w:val="20"/>
              </w:rPr>
              <w:t>á</w:t>
            </w:r>
            <w:r w:rsidRPr="00AC1D0E">
              <w:rPr>
                <w:rFonts w:ascii="Garamond" w:hAnsi="Garamond" w:cstheme="minorBidi"/>
                <w:sz w:val="20"/>
                <w:szCs w:val="20"/>
              </w:rPr>
              <w:t>g</w:t>
            </w:r>
            <w:r w:rsidR="00AC1D0E">
              <w:rPr>
                <w:rFonts w:ascii="Garamond" w:hAnsi="Garamond" w:cstheme="minorBidi"/>
                <w:sz w:val="20"/>
                <w:szCs w:val="20"/>
              </w:rPr>
              <w:t>ina</w:t>
            </w:r>
            <w:r w:rsidRPr="00AC1D0E">
              <w:rPr>
                <w:rFonts w:ascii="Garamond" w:hAnsi="Garamond" w:cstheme="minorBidi"/>
                <w:sz w:val="20"/>
                <w:szCs w:val="20"/>
              </w:rPr>
              <w:t xml:space="preserve"> </w:t>
            </w:r>
            <w:r w:rsidR="003C5F16" w:rsidRPr="00AC1D0E">
              <w:rPr>
                <w:rFonts w:ascii="Garamond" w:hAnsi="Garamond" w:cstheme="minorBidi"/>
                <w:b/>
                <w:bCs/>
                <w:sz w:val="20"/>
                <w:szCs w:val="20"/>
              </w:rPr>
              <w:fldChar w:fldCharType="begin"/>
            </w:r>
            <w:r w:rsidR="003C5F16" w:rsidRPr="00AC1D0E">
              <w:rPr>
                <w:rFonts w:ascii="Garamond" w:hAnsi="Garamond" w:cstheme="minorBidi"/>
                <w:b/>
                <w:bCs/>
                <w:sz w:val="20"/>
                <w:szCs w:val="20"/>
              </w:rPr>
              <w:instrText xml:space="preserve"> PAGE </w:instrText>
            </w:r>
            <w:r w:rsidR="003C5F16" w:rsidRPr="00AC1D0E">
              <w:rPr>
                <w:rFonts w:ascii="Garamond" w:hAnsi="Garamond" w:cstheme="minorBidi"/>
                <w:b/>
                <w:bCs/>
                <w:sz w:val="20"/>
                <w:szCs w:val="20"/>
              </w:rPr>
              <w:fldChar w:fldCharType="separate"/>
            </w:r>
            <w:r w:rsidRPr="00AC1D0E">
              <w:rPr>
                <w:rFonts w:ascii="Garamond" w:hAnsi="Garamond" w:cstheme="minorBidi"/>
                <w:b/>
                <w:bCs/>
                <w:sz w:val="20"/>
                <w:szCs w:val="20"/>
              </w:rPr>
              <w:t>23</w:t>
            </w:r>
            <w:r w:rsidR="003C5F16" w:rsidRPr="00AC1D0E">
              <w:rPr>
                <w:rFonts w:ascii="Garamond" w:hAnsi="Garamond" w:cstheme="minorBidi"/>
                <w:b/>
                <w:bCs/>
                <w:sz w:val="20"/>
                <w:szCs w:val="20"/>
              </w:rPr>
              <w:fldChar w:fldCharType="end"/>
            </w:r>
            <w:r w:rsidRPr="00AC1D0E">
              <w:rPr>
                <w:rFonts w:ascii="Garamond" w:hAnsi="Garamond" w:cstheme="minorBidi"/>
                <w:sz w:val="20"/>
                <w:szCs w:val="20"/>
              </w:rPr>
              <w:t xml:space="preserve"> </w:t>
            </w:r>
            <w:r w:rsidR="00AC1D0E">
              <w:rPr>
                <w:rFonts w:ascii="Garamond" w:hAnsi="Garamond" w:cstheme="minorBidi"/>
                <w:sz w:val="20"/>
                <w:szCs w:val="20"/>
              </w:rPr>
              <w:t>de</w:t>
            </w:r>
            <w:r w:rsidRPr="00AC1D0E">
              <w:rPr>
                <w:rFonts w:ascii="Garamond" w:hAnsi="Garamond" w:cstheme="minorBidi"/>
                <w:sz w:val="20"/>
                <w:szCs w:val="20"/>
              </w:rPr>
              <w:t xml:space="preserve"> </w:t>
            </w:r>
            <w:r w:rsidR="003C5F16" w:rsidRPr="00AC1D0E">
              <w:rPr>
                <w:rFonts w:ascii="Garamond" w:hAnsi="Garamond" w:cstheme="minorBidi"/>
                <w:b/>
                <w:bCs/>
                <w:sz w:val="20"/>
                <w:szCs w:val="20"/>
              </w:rPr>
              <w:fldChar w:fldCharType="begin"/>
            </w:r>
            <w:r w:rsidR="003C5F16" w:rsidRPr="00AC1D0E">
              <w:rPr>
                <w:rFonts w:ascii="Garamond" w:hAnsi="Garamond" w:cstheme="minorBidi"/>
                <w:b/>
                <w:bCs/>
                <w:sz w:val="20"/>
                <w:szCs w:val="20"/>
              </w:rPr>
              <w:instrText xml:space="preserve"> NUMPAGES  </w:instrText>
            </w:r>
            <w:r w:rsidR="003C5F16" w:rsidRPr="00AC1D0E">
              <w:rPr>
                <w:rFonts w:ascii="Garamond" w:hAnsi="Garamond" w:cstheme="minorBidi"/>
                <w:b/>
                <w:bCs/>
                <w:sz w:val="20"/>
                <w:szCs w:val="20"/>
              </w:rPr>
              <w:fldChar w:fldCharType="separate"/>
            </w:r>
            <w:r w:rsidRPr="00AC1D0E">
              <w:rPr>
                <w:rFonts w:ascii="Garamond" w:hAnsi="Garamond" w:cstheme="minorBidi"/>
                <w:b/>
                <w:bCs/>
                <w:sz w:val="20"/>
                <w:szCs w:val="20"/>
              </w:rPr>
              <w:t>53</w:t>
            </w:r>
            <w:r w:rsidR="003C5F16" w:rsidRPr="00AC1D0E">
              <w:rPr>
                <w:rFonts w:ascii="Garamond" w:hAnsi="Garamond" w:cstheme="minorBid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9A1B6" w14:textId="77777777" w:rsidR="009D1807" w:rsidRPr="00D47F00" w:rsidRDefault="009D1807" w:rsidP="00D47F00">
      <w:pPr>
        <w:spacing w:after="0" w:line="240" w:lineRule="auto"/>
        <w:rPr>
          <w:rFonts w:ascii="Times New Roman" w:hAnsi="Times New Roman" w:cs="Times New Roman"/>
          <w:sz w:val="16"/>
          <w:szCs w:val="16"/>
        </w:rPr>
      </w:pPr>
      <w:r w:rsidRPr="00D47F00">
        <w:rPr>
          <w:rFonts w:ascii="Times New Roman" w:hAnsi="Times New Roman" w:cs="Times New Roman"/>
          <w:sz w:val="16"/>
          <w:szCs w:val="16"/>
        </w:rPr>
        <w:separator/>
      </w:r>
    </w:p>
  </w:footnote>
  <w:footnote w:type="continuationSeparator" w:id="0">
    <w:p w14:paraId="06F656FE" w14:textId="77777777" w:rsidR="009D1807" w:rsidRPr="00D47F00" w:rsidRDefault="009D1807" w:rsidP="00D47F00">
      <w:pPr>
        <w:spacing w:after="0" w:line="240" w:lineRule="auto"/>
        <w:rPr>
          <w:rFonts w:ascii="Times New Roman" w:hAnsi="Times New Roman" w:cs="Times New Roman"/>
          <w:sz w:val="10"/>
          <w:szCs w:val="10"/>
        </w:rPr>
      </w:pPr>
      <w:r w:rsidRPr="00D47F00">
        <w:rPr>
          <w:rFonts w:ascii="Times New Roman" w:hAnsi="Times New Roman" w:cs="Times New Roman"/>
          <w:sz w:val="16"/>
          <w:szCs w:val="16"/>
        </w:rPr>
        <w:continuationSeparator/>
      </w:r>
    </w:p>
    <w:p w14:paraId="3373F816" w14:textId="77777777" w:rsidR="009D1807" w:rsidRPr="00D47F00" w:rsidRDefault="009D1807" w:rsidP="00D47F00">
      <w:pPr>
        <w:spacing w:after="0" w:line="240" w:lineRule="auto"/>
        <w:rPr>
          <w:rFonts w:ascii="Times New Roman" w:hAnsi="Times New Roman" w:cs="Times New Roman"/>
          <w:sz w:val="10"/>
          <w:szCs w:val="10"/>
        </w:rPr>
      </w:pPr>
    </w:p>
  </w:footnote>
  <w:footnote w:type="continuationNotice" w:id="1">
    <w:p w14:paraId="5DF950BA" w14:textId="77777777" w:rsidR="009D1807" w:rsidRPr="006D7B71" w:rsidRDefault="009D1807">
      <w:pPr>
        <w:spacing w:line="240" w:lineRule="auto"/>
        <w:rPr>
          <w:rFonts w:ascii="Garamond" w:hAnsi="Garamond"/>
          <w:sz w:val="16"/>
          <w:szCs w:val="16"/>
        </w:rPr>
      </w:pPr>
    </w:p>
  </w:footnote>
  <w:footnote w:id="2">
    <w:p w14:paraId="3645165B" w14:textId="27EDD6F8" w:rsidR="00140BFC" w:rsidRPr="002F6949" w:rsidRDefault="00140BFC"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2B773E" w:rsidRPr="002F6949">
        <w:rPr>
          <w:rFonts w:ascii="Times New Roman" w:hAnsi="Times New Roman"/>
          <w:sz w:val="16"/>
          <w:szCs w:val="16"/>
          <w:lang w:val="es-419"/>
        </w:rPr>
        <w:t xml:space="preserve">USDA NOP §205.501(a)(10); Articulo 43 del </w:t>
      </w:r>
      <w:r w:rsidR="00DD7B9B" w:rsidRPr="002F6949">
        <w:rPr>
          <w:rFonts w:ascii="Times New Roman" w:hAnsi="Times New Roman"/>
          <w:sz w:val="16"/>
          <w:szCs w:val="16"/>
          <w:lang w:val="es-419"/>
        </w:rPr>
        <w:t>Reglamento</w:t>
      </w:r>
      <w:r w:rsidR="002B773E" w:rsidRPr="002F6949">
        <w:rPr>
          <w:rFonts w:ascii="Times New Roman" w:hAnsi="Times New Roman"/>
          <w:sz w:val="16"/>
          <w:szCs w:val="16"/>
          <w:lang w:val="es-419"/>
        </w:rPr>
        <w:t xml:space="preserve"> (UE) 2018/848 y Articulo 21 del Reglamento (UE) 2021/1698; Manual Operativo de COR, Sección C.7.15</w:t>
      </w:r>
    </w:p>
  </w:footnote>
  <w:footnote w:id="3">
    <w:p w14:paraId="6396A9C3" w14:textId="77707002" w:rsidR="00573CA5" w:rsidRPr="002F6949" w:rsidRDefault="00573CA5"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AE29B4" w:rsidRPr="002F6949">
        <w:rPr>
          <w:rFonts w:ascii="Times New Roman" w:hAnsi="Times New Roman"/>
          <w:sz w:val="16"/>
          <w:szCs w:val="16"/>
          <w:lang w:val="es-419"/>
        </w:rPr>
        <w:t>Preguntas y respuestas sobre equivalencia canadiense-estadounidense (USDA-NOP)</w:t>
      </w:r>
    </w:p>
  </w:footnote>
  <w:footnote w:id="4">
    <w:p w14:paraId="039EB425" w14:textId="52B3CC15" w:rsidR="005A40C3" w:rsidRPr="002F6949" w:rsidRDefault="005A40C3"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1F24DC" w:rsidRPr="002F6949">
        <w:rPr>
          <w:rFonts w:ascii="Times New Roman" w:hAnsi="Times New Roman"/>
          <w:sz w:val="16"/>
          <w:szCs w:val="16"/>
          <w:lang w:val="es-419"/>
        </w:rPr>
        <w:t>Página de web del</w:t>
      </w:r>
      <w:r w:rsidR="00EB7894" w:rsidRPr="002F6949">
        <w:rPr>
          <w:rFonts w:ascii="Times New Roman" w:hAnsi="Times New Roman"/>
          <w:sz w:val="16"/>
          <w:szCs w:val="16"/>
          <w:lang w:val="es-419"/>
        </w:rPr>
        <w:t xml:space="preserve"> </w:t>
      </w:r>
      <w:r w:rsidR="003C1B66" w:rsidRPr="002F6949">
        <w:rPr>
          <w:rFonts w:ascii="Times New Roman" w:hAnsi="Times New Roman"/>
          <w:sz w:val="16"/>
          <w:szCs w:val="16"/>
          <w:lang w:val="es-419"/>
        </w:rPr>
        <w:t xml:space="preserve">CFIA </w:t>
      </w:r>
      <w:r w:rsidR="00EB7894" w:rsidRPr="002F6949">
        <w:rPr>
          <w:rFonts w:ascii="Times New Roman" w:hAnsi="Times New Roman"/>
          <w:sz w:val="16"/>
          <w:szCs w:val="16"/>
          <w:lang w:val="es-419"/>
        </w:rPr>
        <w:t>producto</w:t>
      </w:r>
      <w:r w:rsidR="003C1B66" w:rsidRPr="002F6949">
        <w:rPr>
          <w:rFonts w:ascii="Times New Roman" w:hAnsi="Times New Roman"/>
          <w:sz w:val="16"/>
          <w:szCs w:val="16"/>
          <w:lang w:val="es-419"/>
        </w:rPr>
        <w:t xml:space="preserve">s </w:t>
      </w:r>
      <w:r w:rsidR="00EB7894" w:rsidRPr="002F6949">
        <w:rPr>
          <w:rFonts w:ascii="Times New Roman" w:hAnsi="Times New Roman"/>
          <w:sz w:val="16"/>
          <w:szCs w:val="16"/>
          <w:lang w:val="es-419"/>
        </w:rPr>
        <w:t>orgánicos</w:t>
      </w:r>
    </w:p>
  </w:footnote>
  <w:footnote w:id="5">
    <w:p w14:paraId="6706FFF7" w14:textId="46472A4C"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NOP §205.501 (b)</w:t>
      </w:r>
      <w:r w:rsidR="006A5B1F" w:rsidRPr="002F6949">
        <w:rPr>
          <w:rFonts w:ascii="Times New Roman" w:hAnsi="Times New Roman"/>
          <w:sz w:val="16"/>
          <w:szCs w:val="16"/>
          <w:lang w:val="es-419"/>
        </w:rPr>
        <w:t>(</w:t>
      </w:r>
      <w:r w:rsidRPr="002F6949">
        <w:rPr>
          <w:rFonts w:ascii="Times New Roman" w:hAnsi="Times New Roman"/>
          <w:sz w:val="16"/>
          <w:szCs w:val="16"/>
          <w:lang w:val="es-419"/>
        </w:rPr>
        <w:t>1</w:t>
      </w:r>
      <w:r w:rsidR="006A5B1F" w:rsidRPr="002F6949">
        <w:rPr>
          <w:rFonts w:ascii="Times New Roman" w:hAnsi="Times New Roman"/>
          <w:sz w:val="16"/>
          <w:szCs w:val="16"/>
          <w:lang w:val="es-419"/>
        </w:rPr>
        <w:t>)</w:t>
      </w:r>
      <w:r w:rsidRPr="002F6949">
        <w:rPr>
          <w:rFonts w:ascii="Times New Roman" w:hAnsi="Times New Roman"/>
          <w:sz w:val="16"/>
          <w:szCs w:val="16"/>
          <w:lang w:val="es-419"/>
        </w:rPr>
        <w:t>(2)</w:t>
      </w:r>
    </w:p>
  </w:footnote>
  <w:footnote w:id="6">
    <w:p w14:paraId="129692C8" w14:textId="7777777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NOP §205.300-311</w:t>
      </w:r>
    </w:p>
  </w:footnote>
  <w:footnote w:id="7">
    <w:p w14:paraId="3589B349" w14:textId="16D2C4EC" w:rsidR="003C5F16" w:rsidRPr="002F6949" w:rsidRDefault="003C5F16" w:rsidP="002F6949">
      <w:pPr>
        <w:pStyle w:val="Default"/>
        <w:rPr>
          <w:sz w:val="16"/>
          <w:szCs w:val="16"/>
          <w:lang w:val="es-419"/>
        </w:rPr>
      </w:pPr>
      <w:r w:rsidRPr="002F6949">
        <w:rPr>
          <w:rStyle w:val="FootnoteReference"/>
          <w:sz w:val="16"/>
          <w:szCs w:val="16"/>
          <w:lang w:val="es-419"/>
        </w:rPr>
        <w:footnoteRef/>
      </w:r>
      <w:r w:rsidRPr="002F6949">
        <w:rPr>
          <w:sz w:val="16"/>
          <w:szCs w:val="16"/>
          <w:lang w:val="es-419"/>
        </w:rPr>
        <w:t xml:space="preserve"> </w:t>
      </w:r>
      <w:r w:rsidR="00BB1085" w:rsidRPr="002F6949">
        <w:rPr>
          <w:sz w:val="16"/>
          <w:szCs w:val="16"/>
          <w:lang w:val="es-419"/>
        </w:rPr>
        <w:t>Orientación NOP</w:t>
      </w:r>
      <w:r w:rsidRPr="002F6949">
        <w:rPr>
          <w:bCs/>
          <w:sz w:val="16"/>
          <w:szCs w:val="16"/>
          <w:lang w:val="es-419"/>
        </w:rPr>
        <w:t xml:space="preserve"> 2604: Respons</w:t>
      </w:r>
      <w:r w:rsidR="00BB1085" w:rsidRPr="002F6949">
        <w:rPr>
          <w:bCs/>
          <w:sz w:val="16"/>
          <w:szCs w:val="16"/>
          <w:lang w:val="es-419"/>
        </w:rPr>
        <w:t>a</w:t>
      </w:r>
      <w:r w:rsidRPr="002F6949">
        <w:rPr>
          <w:bCs/>
          <w:sz w:val="16"/>
          <w:szCs w:val="16"/>
          <w:lang w:val="es-419"/>
        </w:rPr>
        <w:t>bili</w:t>
      </w:r>
      <w:r w:rsidR="00BB1085" w:rsidRPr="002F6949">
        <w:rPr>
          <w:bCs/>
          <w:sz w:val="16"/>
          <w:szCs w:val="16"/>
          <w:lang w:val="es-419"/>
        </w:rPr>
        <w:t>dade</w:t>
      </w:r>
      <w:r w:rsidRPr="002F6949">
        <w:rPr>
          <w:bCs/>
          <w:sz w:val="16"/>
          <w:szCs w:val="16"/>
          <w:lang w:val="es-419"/>
        </w:rPr>
        <w:t>s</w:t>
      </w:r>
      <w:r w:rsidR="00E46EED" w:rsidRPr="002F6949">
        <w:rPr>
          <w:bCs/>
          <w:sz w:val="16"/>
          <w:szCs w:val="16"/>
          <w:lang w:val="es-419"/>
        </w:rPr>
        <w:t xml:space="preserve"> de los operadores cambiando organismos de control</w:t>
      </w:r>
    </w:p>
  </w:footnote>
  <w:footnote w:id="8">
    <w:p w14:paraId="3955EFBA" w14:textId="3254EA24"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3D7127" w:rsidRPr="002F6949">
        <w:rPr>
          <w:rFonts w:ascii="Times New Roman" w:hAnsi="Times New Roman"/>
          <w:sz w:val="16"/>
          <w:szCs w:val="16"/>
          <w:lang w:val="es-419"/>
        </w:rPr>
        <w:t xml:space="preserve">Instrucción </w:t>
      </w:r>
      <w:r w:rsidRPr="002F6949">
        <w:rPr>
          <w:rFonts w:ascii="Times New Roman" w:hAnsi="Times New Roman"/>
          <w:sz w:val="16"/>
          <w:szCs w:val="16"/>
          <w:lang w:val="es-419"/>
        </w:rPr>
        <w:t xml:space="preserve">NOP 2605: </w:t>
      </w:r>
      <w:r w:rsidR="00900D5A" w:rsidRPr="002F6949">
        <w:rPr>
          <w:rFonts w:ascii="Times New Roman" w:hAnsi="Times New Roman"/>
          <w:sz w:val="16"/>
          <w:szCs w:val="16"/>
          <w:lang w:val="es-419"/>
        </w:rPr>
        <w:t>Restablecimiento de operaciones suspendidas</w:t>
      </w:r>
    </w:p>
  </w:footnote>
  <w:footnote w:id="9">
    <w:p w14:paraId="5C40722E" w14:textId="09FE4C7C"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§205.403(b)(2) </w:t>
      </w:r>
      <w:r w:rsidR="00AF2B9B" w:rsidRPr="002F6949">
        <w:rPr>
          <w:rFonts w:ascii="Times New Roman" w:hAnsi="Times New Roman"/>
          <w:sz w:val="16"/>
          <w:szCs w:val="16"/>
          <w:lang w:val="es-419"/>
        </w:rPr>
        <w:t>y</w:t>
      </w:r>
      <w:r w:rsidRPr="002F6949">
        <w:rPr>
          <w:rFonts w:ascii="Times New Roman" w:hAnsi="Times New Roman"/>
          <w:sz w:val="16"/>
          <w:szCs w:val="16"/>
          <w:lang w:val="es-419"/>
        </w:rPr>
        <w:t xml:space="preserve"> CFIA COO Manual C2.2.10</w:t>
      </w:r>
    </w:p>
  </w:footnote>
  <w:footnote w:id="10">
    <w:p w14:paraId="476C964E" w14:textId="3D382433"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E450FC" w:rsidRPr="002F6949">
        <w:rPr>
          <w:rFonts w:ascii="Times New Roman" w:eastAsia="TTE2190998t00" w:hAnsi="Times New Roman"/>
          <w:sz w:val="16"/>
          <w:szCs w:val="16"/>
          <w:lang w:val="es-419"/>
        </w:rPr>
        <w:t xml:space="preserve">Articulo 38(3) del </w:t>
      </w:r>
      <w:r w:rsidR="004637B1" w:rsidRPr="002F6949">
        <w:rPr>
          <w:rFonts w:ascii="Times New Roman" w:eastAsia="TTE2190998t00" w:hAnsi="Times New Roman"/>
          <w:sz w:val="16"/>
          <w:szCs w:val="16"/>
          <w:lang w:val="es-419"/>
        </w:rPr>
        <w:t xml:space="preserve">Reglamento (UE) </w:t>
      </w:r>
      <w:r w:rsidR="00E450FC" w:rsidRPr="002F6949">
        <w:rPr>
          <w:rFonts w:ascii="Times New Roman" w:eastAsia="TTE2190998t00" w:hAnsi="Times New Roman"/>
          <w:sz w:val="16"/>
          <w:szCs w:val="16"/>
          <w:lang w:val="es-419"/>
        </w:rPr>
        <w:t>2018/848</w:t>
      </w:r>
    </w:p>
  </w:footnote>
  <w:footnote w:id="11">
    <w:p w14:paraId="2BCF05EE" w14:textId="562C3820"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860994" w:rsidRPr="002F6949">
        <w:rPr>
          <w:rFonts w:ascii="Times New Roman" w:hAnsi="Times New Roman"/>
          <w:sz w:val="16"/>
          <w:szCs w:val="16"/>
          <w:lang w:val="es-419"/>
        </w:rPr>
        <w:t>Articulo 7</w:t>
      </w:r>
      <w:r w:rsidR="003534F6" w:rsidRPr="002F6949">
        <w:rPr>
          <w:rFonts w:ascii="Times New Roman" w:hAnsi="Times New Roman"/>
          <w:sz w:val="16"/>
          <w:szCs w:val="16"/>
          <w:lang w:val="es-419"/>
        </w:rPr>
        <w:t>(a</w:t>
      </w:r>
      <w:r w:rsidR="00F724B5" w:rsidRPr="002F6949">
        <w:rPr>
          <w:rFonts w:ascii="Times New Roman" w:hAnsi="Times New Roman"/>
          <w:sz w:val="16"/>
          <w:szCs w:val="16"/>
          <w:lang w:val="es-419"/>
        </w:rPr>
        <w:t>)(b) del Reglamento (UE) 2021/279</w:t>
      </w:r>
    </w:p>
  </w:footnote>
  <w:footnote w:id="12">
    <w:p w14:paraId="3AAC3BE3" w14:textId="2E34D4D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F724B5" w:rsidRPr="002F6949">
        <w:rPr>
          <w:rFonts w:ascii="Times New Roman" w:hAnsi="Times New Roman"/>
          <w:sz w:val="16"/>
          <w:szCs w:val="16"/>
          <w:lang w:val="es-419"/>
        </w:rPr>
        <w:t>Articulo 24(2)(c) del Reglamento (UE) 2021/1698</w:t>
      </w:r>
    </w:p>
  </w:footnote>
  <w:footnote w:id="13">
    <w:p w14:paraId="30C466C0" w14:textId="1CD4F149"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§205.501(a)(18)</w:t>
      </w:r>
    </w:p>
  </w:footnote>
  <w:footnote w:id="14">
    <w:p w14:paraId="65C12665" w14:textId="1F862CE2"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§205.403</w:t>
      </w:r>
      <w:r w:rsidR="00EC0EFE" w:rsidRPr="002F6949">
        <w:rPr>
          <w:rFonts w:ascii="Times New Roman" w:hAnsi="Times New Roman"/>
          <w:sz w:val="16"/>
          <w:szCs w:val="16"/>
          <w:lang w:val="es-419"/>
        </w:rPr>
        <w:t>(</w:t>
      </w:r>
      <w:r w:rsidRPr="002F6949">
        <w:rPr>
          <w:rFonts w:ascii="Times New Roman" w:hAnsi="Times New Roman"/>
          <w:sz w:val="16"/>
          <w:szCs w:val="16"/>
          <w:lang w:val="es-419"/>
        </w:rPr>
        <w:t>c</w:t>
      </w:r>
      <w:r w:rsidR="00EC0EFE" w:rsidRPr="002F6949">
        <w:rPr>
          <w:rFonts w:ascii="Times New Roman" w:hAnsi="Times New Roman"/>
          <w:sz w:val="16"/>
          <w:szCs w:val="16"/>
          <w:lang w:val="es-419"/>
        </w:rPr>
        <w:t>)(</w:t>
      </w:r>
      <w:r w:rsidRPr="002F6949">
        <w:rPr>
          <w:rFonts w:ascii="Times New Roman" w:hAnsi="Times New Roman"/>
          <w:sz w:val="16"/>
          <w:szCs w:val="16"/>
          <w:lang w:val="es-419"/>
        </w:rPr>
        <w:t>1-3</w:t>
      </w:r>
      <w:r w:rsidR="00EC0EFE" w:rsidRPr="002F6949">
        <w:rPr>
          <w:rFonts w:ascii="Times New Roman" w:hAnsi="Times New Roman"/>
          <w:sz w:val="16"/>
          <w:szCs w:val="16"/>
          <w:lang w:val="es-419"/>
        </w:rPr>
        <w:t>)</w:t>
      </w:r>
      <w:r w:rsidRPr="002F6949">
        <w:rPr>
          <w:rFonts w:ascii="Times New Roman" w:hAnsi="Times New Roman"/>
          <w:sz w:val="16"/>
          <w:szCs w:val="16"/>
          <w:lang w:val="es-419"/>
        </w:rPr>
        <w:t>, 204.406(a)</w:t>
      </w:r>
      <w:r w:rsidR="00A470B3" w:rsidRPr="002F6949">
        <w:rPr>
          <w:rFonts w:ascii="Times New Roman" w:hAnsi="Times New Roman"/>
          <w:sz w:val="16"/>
          <w:szCs w:val="16"/>
          <w:lang w:val="es-419"/>
        </w:rPr>
        <w:t>(</w:t>
      </w:r>
      <w:r w:rsidRPr="002F6949">
        <w:rPr>
          <w:rFonts w:ascii="Times New Roman" w:hAnsi="Times New Roman"/>
          <w:sz w:val="16"/>
          <w:szCs w:val="16"/>
          <w:lang w:val="es-419"/>
        </w:rPr>
        <w:t>3</w:t>
      </w:r>
      <w:r w:rsidR="00A470B3" w:rsidRPr="002F6949">
        <w:rPr>
          <w:rFonts w:ascii="Times New Roman" w:hAnsi="Times New Roman"/>
          <w:sz w:val="16"/>
          <w:szCs w:val="16"/>
          <w:lang w:val="es-419"/>
        </w:rPr>
        <w:t>)</w:t>
      </w:r>
    </w:p>
  </w:footnote>
  <w:footnote w:id="15">
    <w:p w14:paraId="75A1BB78" w14:textId="7777777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§204.402 §205.404.a, §205.403.d, §205.403.e.1-2 </w:t>
      </w:r>
    </w:p>
  </w:footnote>
  <w:footnote w:id="16">
    <w:p w14:paraId="0FCA206F" w14:textId="666E4E2F" w:rsidR="00F37D88" w:rsidRPr="002F6949" w:rsidRDefault="00F37D88" w:rsidP="002F6949">
      <w:pPr>
        <w:pStyle w:val="FootnoteText"/>
        <w:spacing w:after="0" w:line="240" w:lineRule="auto"/>
        <w:rPr>
          <w:rFonts w:ascii="Times New Roman" w:hAnsi="Times New Roman"/>
          <w:sz w:val="16"/>
          <w:szCs w:val="16"/>
          <w:lang w:val="en-US"/>
        </w:rPr>
      </w:pPr>
      <w:r w:rsidRPr="002F6949">
        <w:rPr>
          <w:rStyle w:val="FootnoteReference"/>
          <w:sz w:val="16"/>
          <w:szCs w:val="16"/>
        </w:rPr>
        <w:footnoteRef/>
      </w:r>
      <w:r w:rsidRPr="002F6949">
        <w:rPr>
          <w:rFonts w:ascii="Times New Roman" w:hAnsi="Times New Roman"/>
          <w:sz w:val="16"/>
          <w:szCs w:val="16"/>
        </w:rPr>
        <w:t xml:space="preserve"> </w:t>
      </w:r>
      <w:r w:rsidR="009E2DB0" w:rsidRPr="002F6949">
        <w:rPr>
          <w:rFonts w:ascii="Times New Roman" w:hAnsi="Times New Roman"/>
          <w:sz w:val="16"/>
          <w:szCs w:val="16"/>
        </w:rPr>
        <w:t>USDA NOP §205.404(b)</w:t>
      </w:r>
    </w:p>
  </w:footnote>
  <w:footnote w:id="17">
    <w:p w14:paraId="4B505C84" w14:textId="43C4C777" w:rsidR="001B42B0" w:rsidRPr="002F6949" w:rsidRDefault="001B42B0"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Articulo</w:t>
      </w:r>
      <w:r w:rsidR="008C3857" w:rsidRPr="002F6949">
        <w:rPr>
          <w:rFonts w:ascii="Times New Roman" w:hAnsi="Times New Roman"/>
          <w:sz w:val="16"/>
          <w:szCs w:val="16"/>
          <w:lang w:val="es-419"/>
        </w:rPr>
        <w:t xml:space="preserve"> 10(1)(b-c) del Reglamento (UE) 2021/1698</w:t>
      </w:r>
    </w:p>
  </w:footnote>
  <w:footnote w:id="18">
    <w:p w14:paraId="13D84F52" w14:textId="7031DA4E" w:rsidR="008E7F49" w:rsidRPr="002F6949" w:rsidRDefault="008E7F49"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506ED4" w:rsidRPr="002F6949">
        <w:rPr>
          <w:rFonts w:ascii="Times New Roman" w:hAnsi="Times New Roman"/>
          <w:sz w:val="16"/>
          <w:szCs w:val="16"/>
          <w:lang w:val="es-419"/>
        </w:rPr>
        <w:t>Articulo 10(4) del Reglamento (UE) 2021/1698</w:t>
      </w:r>
    </w:p>
  </w:footnote>
  <w:footnote w:id="19">
    <w:p w14:paraId="35B5F8D5" w14:textId="7777777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§205.403, 205.406.a.1-4, 205.406.b-d</w:t>
      </w:r>
    </w:p>
  </w:footnote>
  <w:footnote w:id="20">
    <w:p w14:paraId="1F2B4B40" w14:textId="77777777" w:rsidR="00E96601" w:rsidRPr="002F6949" w:rsidRDefault="00E96601"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§205.405(a)(1-3) &amp; 205.662</w:t>
      </w:r>
    </w:p>
  </w:footnote>
  <w:footnote w:id="21">
    <w:p w14:paraId="51870D6C" w14:textId="6BD89EBA" w:rsidR="002F6949" w:rsidRPr="002F6949" w:rsidRDefault="002F6949" w:rsidP="002F6949">
      <w:pPr>
        <w:pStyle w:val="FootnoteText"/>
        <w:spacing w:after="0" w:line="240" w:lineRule="auto"/>
        <w:rPr>
          <w:sz w:val="16"/>
          <w:szCs w:val="16"/>
          <w:lang w:val="en-US"/>
        </w:rPr>
      </w:pPr>
      <w:r w:rsidRPr="002F6949">
        <w:rPr>
          <w:rStyle w:val="FootnoteReference"/>
          <w:sz w:val="16"/>
          <w:szCs w:val="16"/>
        </w:rPr>
        <w:footnoteRef/>
      </w:r>
      <w:r w:rsidRPr="002F6949">
        <w:rPr>
          <w:sz w:val="16"/>
          <w:szCs w:val="16"/>
        </w:rPr>
        <w:t xml:space="preserve"> </w:t>
      </w:r>
      <w:r>
        <w:rPr>
          <w:sz w:val="16"/>
          <w:szCs w:val="16"/>
        </w:rPr>
        <w:t xml:space="preserve">Reglamento </w:t>
      </w:r>
      <w:r w:rsidR="00181951">
        <w:rPr>
          <w:sz w:val="16"/>
          <w:szCs w:val="16"/>
        </w:rPr>
        <w:t>(UE) 2021/279</w:t>
      </w:r>
    </w:p>
  </w:footnote>
  <w:footnote w:id="22">
    <w:p w14:paraId="5AF28A2D" w14:textId="77777777" w:rsidR="00E96601" w:rsidRPr="002F6949" w:rsidRDefault="00E96601"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§205.405.b.1-3, 205.405.c.1-205.405.c.1.i &amp; 205.662.b</w:t>
      </w:r>
    </w:p>
  </w:footnote>
  <w:footnote w:id="23">
    <w:p w14:paraId="25ABB578" w14:textId="77777777" w:rsidR="00E96601" w:rsidRPr="002F6949" w:rsidRDefault="00E96601"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COR OM, C.2.3.1</w:t>
      </w:r>
    </w:p>
  </w:footnote>
  <w:footnote w:id="24">
    <w:p w14:paraId="2B4F41DD" w14:textId="6CAC9BD6" w:rsidR="003C5F16" w:rsidRPr="002F6949" w:rsidRDefault="003C5F16" w:rsidP="002F6949">
      <w:pPr>
        <w:spacing w:after="0" w:line="240" w:lineRule="auto"/>
        <w:rPr>
          <w:rFonts w:ascii="Times New Roman" w:eastAsia="Calibri" w:hAnsi="Times New Roman" w:cs="Times New Roman"/>
          <w:sz w:val="16"/>
          <w:szCs w:val="16"/>
          <w:lang w:val="es-419"/>
        </w:rPr>
      </w:pPr>
      <w:r w:rsidRPr="002F6949">
        <w:rPr>
          <w:rStyle w:val="FootnoteReference"/>
          <w:sz w:val="16"/>
          <w:szCs w:val="16"/>
          <w:lang w:val="es-419"/>
        </w:rPr>
        <w:footnoteRef/>
      </w:r>
      <w:r w:rsidRPr="002F6949">
        <w:rPr>
          <w:rFonts w:ascii="Times New Roman" w:hAnsi="Times New Roman" w:cs="Times New Roman"/>
          <w:sz w:val="16"/>
          <w:szCs w:val="16"/>
          <w:lang w:val="es-419"/>
        </w:rPr>
        <w:t xml:space="preserve"> USDA NOP §205.405.205.662.c-d</w:t>
      </w:r>
      <w:r w:rsidR="002F1E2D" w:rsidRPr="002F6949">
        <w:rPr>
          <w:rFonts w:ascii="Times New Roman" w:hAnsi="Times New Roman" w:cs="Times New Roman"/>
          <w:sz w:val="16"/>
          <w:szCs w:val="16"/>
          <w:lang w:val="es-419"/>
        </w:rPr>
        <w:t xml:space="preserve"> </w:t>
      </w:r>
      <w:r w:rsidR="227E1361" w:rsidRPr="002F6949">
        <w:rPr>
          <w:rFonts w:ascii="Times New Roman" w:hAnsi="Times New Roman" w:cs="Times New Roman"/>
          <w:sz w:val="16"/>
          <w:szCs w:val="16"/>
          <w:lang w:val="es-419"/>
        </w:rPr>
        <w:t>*</w:t>
      </w:r>
      <w:r w:rsidR="00C92490" w:rsidRPr="002F6949">
        <w:rPr>
          <w:rFonts w:ascii="Times New Roman" w:hAnsi="Times New Roman" w:cs="Times New Roman"/>
          <w:sz w:val="16"/>
          <w:szCs w:val="16"/>
          <w:lang w:val="es-419"/>
        </w:rPr>
        <w:t xml:space="preserve">Revocación </w:t>
      </w:r>
      <w:r w:rsidR="003B2DB7" w:rsidRPr="002F6949">
        <w:rPr>
          <w:rFonts w:ascii="Times New Roman" w:hAnsi="Times New Roman" w:cs="Times New Roman"/>
          <w:sz w:val="16"/>
          <w:szCs w:val="16"/>
          <w:lang w:val="es-419"/>
        </w:rPr>
        <w:t xml:space="preserve">solo aplica a los operadores bajo USDA NOP. </w:t>
      </w:r>
    </w:p>
  </w:footnote>
  <w:footnote w:id="25">
    <w:p w14:paraId="03C28885" w14:textId="57593C9A" w:rsidR="009A1BAA" w:rsidRPr="002F6949" w:rsidRDefault="009A1BAA" w:rsidP="002F6949">
      <w:pPr>
        <w:pStyle w:val="FootnoteText"/>
        <w:spacing w:after="0" w:line="240" w:lineRule="auto"/>
        <w:rPr>
          <w:rFonts w:ascii="Times New Roman" w:hAnsi="Times New Roman"/>
          <w:sz w:val="16"/>
          <w:szCs w:val="16"/>
          <w:lang w:val="en-US"/>
        </w:rPr>
      </w:pPr>
      <w:r w:rsidRPr="002F6949">
        <w:rPr>
          <w:rStyle w:val="FootnoteReference"/>
          <w:sz w:val="16"/>
          <w:szCs w:val="16"/>
        </w:rPr>
        <w:footnoteRef/>
      </w:r>
      <w:r w:rsidRPr="002F6949">
        <w:rPr>
          <w:rFonts w:ascii="Times New Roman" w:hAnsi="Times New Roman"/>
          <w:sz w:val="16"/>
          <w:szCs w:val="16"/>
        </w:rPr>
        <w:t xml:space="preserve"> </w:t>
      </w:r>
      <w:r w:rsidR="00361B31" w:rsidRPr="002F6949">
        <w:rPr>
          <w:rFonts w:ascii="Times New Roman" w:hAnsi="Times New Roman"/>
          <w:sz w:val="16"/>
          <w:szCs w:val="16"/>
          <w:lang w:val="en-US"/>
        </w:rPr>
        <w:t xml:space="preserve">USDA NOP </w:t>
      </w:r>
      <w:r w:rsidR="00361B31" w:rsidRPr="002F6949">
        <w:rPr>
          <w:rFonts w:ascii="Times New Roman" w:hAnsi="Times New Roman"/>
          <w:sz w:val="16"/>
          <w:szCs w:val="16"/>
        </w:rPr>
        <w:t>§205.662(e)(3)</w:t>
      </w:r>
    </w:p>
  </w:footnote>
  <w:footnote w:id="26">
    <w:p w14:paraId="06A9942F" w14:textId="1C913748" w:rsidR="00D1377E" w:rsidRPr="002F6949" w:rsidRDefault="00D1377E"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NOP §205.403(</w:t>
      </w:r>
      <w:r w:rsidR="00E716E7">
        <w:rPr>
          <w:rFonts w:ascii="Times New Roman" w:hAnsi="Times New Roman"/>
          <w:sz w:val="16"/>
          <w:szCs w:val="16"/>
          <w:lang w:val="es-419"/>
        </w:rPr>
        <w:t>b</w:t>
      </w:r>
      <w:r w:rsidRPr="002F6949">
        <w:rPr>
          <w:rFonts w:ascii="Times New Roman" w:hAnsi="Times New Roman"/>
          <w:sz w:val="16"/>
          <w:szCs w:val="16"/>
          <w:lang w:val="es-419"/>
        </w:rPr>
        <w:t>)</w:t>
      </w:r>
    </w:p>
  </w:footnote>
  <w:footnote w:id="27">
    <w:p w14:paraId="32A6840D" w14:textId="74221C75" w:rsidR="00D1377E" w:rsidRPr="002F6949" w:rsidRDefault="00D1377E"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E716E7" w:rsidRPr="002F6949">
        <w:rPr>
          <w:rFonts w:ascii="Times New Roman" w:hAnsi="Times New Roman"/>
          <w:sz w:val="16"/>
          <w:szCs w:val="16"/>
          <w:lang w:val="es-419"/>
        </w:rPr>
        <w:t>NOP §205.403(</w:t>
      </w:r>
      <w:r w:rsidR="00E716E7">
        <w:rPr>
          <w:rFonts w:ascii="Times New Roman" w:hAnsi="Times New Roman"/>
          <w:sz w:val="16"/>
          <w:szCs w:val="16"/>
          <w:lang w:val="es-419"/>
        </w:rPr>
        <w:t>b</w:t>
      </w:r>
      <w:r w:rsidR="00E716E7" w:rsidRPr="002F6949">
        <w:rPr>
          <w:rFonts w:ascii="Times New Roman" w:hAnsi="Times New Roman"/>
          <w:sz w:val="16"/>
          <w:szCs w:val="16"/>
          <w:lang w:val="es-419"/>
        </w:rPr>
        <w:t>)(</w:t>
      </w:r>
      <w:r w:rsidR="00E716E7">
        <w:rPr>
          <w:rFonts w:ascii="Times New Roman" w:hAnsi="Times New Roman"/>
          <w:sz w:val="16"/>
          <w:szCs w:val="16"/>
          <w:lang w:val="es-419"/>
        </w:rPr>
        <w:t>1)</w:t>
      </w:r>
    </w:p>
  </w:footnote>
  <w:footnote w:id="28">
    <w:p w14:paraId="3924AA4F" w14:textId="77777777" w:rsidR="00D1377E" w:rsidRPr="002F6949" w:rsidRDefault="00D1377E" w:rsidP="002F6949">
      <w:pPr>
        <w:spacing w:after="0" w:line="240" w:lineRule="auto"/>
        <w:rPr>
          <w:rFonts w:ascii="Times New Roman" w:hAnsi="Times New Roman" w:cs="Times New Roman"/>
          <w:sz w:val="16"/>
          <w:szCs w:val="16"/>
          <w:lang w:val="es-419"/>
        </w:rPr>
      </w:pPr>
      <w:r w:rsidRPr="002F6949">
        <w:rPr>
          <w:rStyle w:val="FootnoteReference"/>
          <w:sz w:val="16"/>
          <w:szCs w:val="16"/>
          <w:lang w:val="es-419"/>
        </w:rPr>
        <w:footnoteRef/>
      </w:r>
      <w:r w:rsidRPr="002F6949">
        <w:rPr>
          <w:rFonts w:ascii="Times New Roman" w:hAnsi="Times New Roman" w:cs="Times New Roman"/>
          <w:sz w:val="16"/>
          <w:szCs w:val="16"/>
          <w:lang w:val="es-419"/>
        </w:rPr>
        <w:t xml:space="preserve"> </w:t>
      </w:r>
      <w:r w:rsidRPr="002F6949">
        <w:rPr>
          <w:rFonts w:ascii="Times New Roman" w:eastAsia="Times New Roman" w:hAnsi="Times New Roman" w:cs="Times New Roman"/>
          <w:sz w:val="16"/>
          <w:szCs w:val="16"/>
          <w:lang w:val="es-419"/>
        </w:rPr>
        <w:t>Articulo 7(a)(b) del Reglamento (UE) 2021/279</w:t>
      </w:r>
    </w:p>
  </w:footnote>
  <w:footnote w:id="29">
    <w:p w14:paraId="3F448E2C" w14:textId="6C7C3D37" w:rsidR="008B437A" w:rsidRPr="002F6949" w:rsidRDefault="008B437A"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32372D" w:rsidRPr="002F6949">
        <w:rPr>
          <w:rFonts w:ascii="Times New Roman" w:hAnsi="Times New Roman"/>
          <w:sz w:val="16"/>
          <w:szCs w:val="16"/>
          <w:lang w:val="es-419"/>
        </w:rPr>
        <w:t>Articulo 10(3)</w:t>
      </w:r>
      <w:r w:rsidR="00325CC7" w:rsidRPr="002F6949">
        <w:rPr>
          <w:rFonts w:ascii="Times New Roman" w:hAnsi="Times New Roman"/>
          <w:sz w:val="16"/>
          <w:szCs w:val="16"/>
          <w:lang w:val="es-419"/>
        </w:rPr>
        <w:t>(b)</w:t>
      </w:r>
      <w:r w:rsidR="0032372D" w:rsidRPr="002F6949">
        <w:rPr>
          <w:rFonts w:ascii="Times New Roman" w:hAnsi="Times New Roman"/>
          <w:sz w:val="16"/>
          <w:szCs w:val="16"/>
          <w:lang w:val="es-419"/>
        </w:rPr>
        <w:t xml:space="preserve"> del Reglamento (UE) 2021/1698</w:t>
      </w:r>
    </w:p>
  </w:footnote>
  <w:footnote w:id="30">
    <w:p w14:paraId="1EC68C88" w14:textId="4986F769" w:rsidR="00ED4744" w:rsidRPr="002F6949" w:rsidRDefault="00ED4744"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w:t>
      </w:r>
      <w:r w:rsidR="00AF6A35" w:rsidRPr="002F6949">
        <w:rPr>
          <w:rFonts w:ascii="Times New Roman" w:hAnsi="Times New Roman"/>
          <w:sz w:val="16"/>
          <w:szCs w:val="16"/>
          <w:lang w:val="es-419"/>
        </w:rPr>
        <w:t>Un “tercero competente”</w:t>
      </w:r>
      <w:r w:rsidR="00477185" w:rsidRPr="002F6949">
        <w:rPr>
          <w:rFonts w:ascii="Times New Roman" w:hAnsi="Times New Roman"/>
          <w:sz w:val="16"/>
          <w:szCs w:val="16"/>
          <w:lang w:val="es-419"/>
        </w:rPr>
        <w:t xml:space="preserve"> debe ser una entidad distinta que no participe en la gestión de la operación y que sea competente para evaluar los registros de aplicación de insumos mediante inspecciones in situ. Los ejemplos incluyen, entre otros: un certificador orgánico acreditado, un sistema de control interno de un grupo de productores orgánicos certificados o una agencia gubernamental.</w:t>
      </w:r>
    </w:p>
  </w:footnote>
  <w:footnote w:id="31">
    <w:p w14:paraId="242B8905" w14:textId="7777777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§205.663</w:t>
      </w:r>
    </w:p>
  </w:footnote>
  <w:footnote w:id="32">
    <w:p w14:paraId="4D11693C" w14:textId="7777777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USDA NOP §205.680.d-e, 205.681</w:t>
      </w:r>
    </w:p>
  </w:footnote>
  <w:footnote w:id="33">
    <w:p w14:paraId="79498DF3" w14:textId="10232581" w:rsidR="00AC0758" w:rsidRPr="002F6949" w:rsidRDefault="00AC0758"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Articulo</w:t>
      </w:r>
      <w:r w:rsidR="006174CC" w:rsidRPr="002F6949">
        <w:rPr>
          <w:rFonts w:ascii="Times New Roman" w:hAnsi="Times New Roman"/>
          <w:sz w:val="16"/>
          <w:szCs w:val="16"/>
          <w:lang w:val="es-419"/>
        </w:rPr>
        <w:t xml:space="preserve"> 41(1) del Reglamento (UE) 2021/279</w:t>
      </w:r>
    </w:p>
  </w:footnote>
  <w:footnote w:id="34">
    <w:p w14:paraId="487559B8" w14:textId="7B014930" w:rsidR="00A10B71" w:rsidRPr="002F6949" w:rsidRDefault="00A10B71"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Articulo 7(c) del Reglamento UE) 2021/279</w:t>
      </w:r>
    </w:p>
  </w:footnote>
  <w:footnote w:id="35">
    <w:p w14:paraId="3672F2DA" w14:textId="72557565" w:rsidR="00A10B71" w:rsidRPr="002F6949" w:rsidRDefault="00A10B71"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Manual </w:t>
      </w:r>
      <w:r w:rsidR="00AE2F21" w:rsidRPr="002F6949">
        <w:rPr>
          <w:rFonts w:ascii="Times New Roman" w:hAnsi="Times New Roman"/>
          <w:sz w:val="16"/>
          <w:szCs w:val="16"/>
          <w:lang w:val="es-419"/>
        </w:rPr>
        <w:t xml:space="preserve">Operativo del </w:t>
      </w:r>
      <w:r w:rsidRPr="002F6949">
        <w:rPr>
          <w:rFonts w:ascii="Times New Roman" w:hAnsi="Times New Roman"/>
          <w:sz w:val="16"/>
          <w:szCs w:val="16"/>
          <w:lang w:val="es-419"/>
        </w:rPr>
        <w:t>COO</w:t>
      </w:r>
      <w:r w:rsidR="00AE2F21" w:rsidRPr="002F6949">
        <w:rPr>
          <w:rFonts w:ascii="Times New Roman" w:hAnsi="Times New Roman"/>
          <w:sz w:val="16"/>
          <w:szCs w:val="16"/>
          <w:lang w:val="es-419"/>
        </w:rPr>
        <w:t xml:space="preserve"> C 2.3.19</w:t>
      </w:r>
    </w:p>
  </w:footnote>
  <w:footnote w:id="36">
    <w:p w14:paraId="011C48F9" w14:textId="7C29C8C5"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NOP § 205.607</w:t>
      </w:r>
    </w:p>
  </w:footnote>
  <w:footnote w:id="37">
    <w:p w14:paraId="2B633D87" w14:textId="77777777" w:rsidR="003C5F16" w:rsidRPr="002F6949" w:rsidRDefault="003C5F16" w:rsidP="002F6949">
      <w:pPr>
        <w:pStyle w:val="FootnoteText"/>
        <w:spacing w:after="0" w:line="240" w:lineRule="auto"/>
        <w:rPr>
          <w:rFonts w:ascii="Times New Roman" w:hAnsi="Times New Roman"/>
          <w:sz w:val="16"/>
          <w:szCs w:val="16"/>
          <w:lang w:val="es-419"/>
        </w:rPr>
      </w:pPr>
      <w:r w:rsidRPr="002F6949">
        <w:rPr>
          <w:rStyle w:val="FootnoteReference"/>
          <w:sz w:val="16"/>
          <w:szCs w:val="16"/>
          <w:lang w:val="es-419"/>
        </w:rPr>
        <w:footnoteRef/>
      </w:r>
      <w:r w:rsidRPr="002F6949">
        <w:rPr>
          <w:rFonts w:ascii="Times New Roman" w:hAnsi="Times New Roman"/>
          <w:sz w:val="16"/>
          <w:szCs w:val="16"/>
          <w:lang w:val="es-419"/>
        </w:rPr>
        <w:t xml:space="preserve"> NOP §205.501(a)16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8F5C" w14:textId="77777777" w:rsidR="003C5F16" w:rsidRDefault="003C5F16" w:rsidP="00DC624B">
    <w:pPr>
      <w:pStyle w:val="Header"/>
    </w:pPr>
  </w:p>
  <w:p w14:paraId="27C0B309" w14:textId="77777777" w:rsidR="003C5F16" w:rsidRDefault="003C5F16" w:rsidP="00F278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479"/>
      <w:gridCol w:w="3011"/>
      <w:gridCol w:w="2520"/>
    </w:tblGrid>
    <w:tr w:rsidR="00836E24" w:rsidRPr="00DA7D49" w14:paraId="0DC3C2F3" w14:textId="77777777" w:rsidTr="00241305">
      <w:trPr>
        <w:jc w:val="center"/>
      </w:trPr>
      <w:tc>
        <w:tcPr>
          <w:tcW w:w="2790" w:type="dxa"/>
          <w:vMerge w:val="restart"/>
        </w:tcPr>
        <w:p w14:paraId="7FAF85E4" w14:textId="2279C155" w:rsidR="00836E24" w:rsidRPr="00E16467" w:rsidRDefault="00836E24" w:rsidP="007C4F17">
          <w:pPr>
            <w:spacing w:after="0"/>
            <w:jc w:val="center"/>
            <w:rPr>
              <w:rFonts w:ascii="Calibri Light" w:hAnsi="Calibri Light" w:cs="Calibri Light"/>
            </w:rPr>
          </w:pPr>
          <w:r w:rsidRPr="00E16467">
            <w:rPr>
              <w:rFonts w:ascii="Calibri Light" w:hAnsi="Calibri Light" w:cs="Calibri Light"/>
            </w:rPr>
            <w:t>www</w:t>
          </w:r>
          <w:r w:rsidR="007E41AC">
            <w:rPr>
              <w:rFonts w:ascii="Calibri Light" w:hAnsi="Calibri Light" w:cs="Calibri Light"/>
            </w:rPr>
            <w:t>k</w:t>
          </w:r>
          <w:r w:rsidRPr="00E16467">
            <w:rPr>
              <w:rFonts w:ascii="Calibri Light" w:hAnsi="Calibri Light" w:cs="Calibri Light"/>
            </w:rPr>
            <w:t>.qcsinfo.org</w:t>
          </w:r>
          <w:r w:rsidRPr="00E16467">
            <w:rPr>
              <w:rFonts w:ascii="Calibri Light" w:hAnsi="Calibri Light" w:cs="Calibri Light"/>
              <w:noProof/>
            </w:rPr>
            <w:drawing>
              <wp:anchor distT="0" distB="0" distL="114300" distR="114300" simplePos="0" relativeHeight="251658752" behindDoc="0" locked="0" layoutInCell="1" allowOverlap="1" wp14:anchorId="09D99D73" wp14:editId="7C79FCBF">
                <wp:simplePos x="0" y="0"/>
                <wp:positionH relativeFrom="column">
                  <wp:align>center</wp:align>
                </wp:positionH>
                <wp:positionV relativeFrom="paragraph">
                  <wp:posOffset>27323</wp:posOffset>
                </wp:positionV>
                <wp:extent cx="1618488" cy="658368"/>
                <wp:effectExtent l="0" t="0" r="1270" b="8890"/>
                <wp:wrapSquare wrapText="bothSides"/>
                <wp:docPr id="1489089073" name="Picture 1489089073" descr="\\DCFOG\Company\Users\QCS\beth.rota\Desktop\QCS Logos\QCS-SimpleLogomark-Colo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FOG\Company\Users\QCS\beth.rota\Desktop\QCS Logos\QCS-SimpleLogomark-Color -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8488" cy="6583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10" w:type="dxa"/>
          <w:gridSpan w:val="3"/>
          <w:vAlign w:val="bottom"/>
        </w:tcPr>
        <w:p w14:paraId="0BB083FA" w14:textId="77777777" w:rsidR="00836E24" w:rsidRPr="00DA7D49" w:rsidRDefault="00836E24" w:rsidP="007C4F17">
          <w:pPr>
            <w:spacing w:after="0"/>
            <w:jc w:val="right"/>
            <w:rPr>
              <w:rFonts w:ascii="Calibri Light" w:hAnsi="Calibri Light" w:cs="Calibri Light"/>
              <w:bCs/>
              <w:sz w:val="32"/>
            </w:rPr>
          </w:pPr>
          <w:r w:rsidRPr="00DA7D49">
            <w:rPr>
              <w:rFonts w:ascii="Calibri Light" w:hAnsi="Calibri Light" w:cs="Calibri Light"/>
              <w:bCs/>
              <w:sz w:val="32"/>
            </w:rPr>
            <w:t>Quality Certification Services (QCS)</w:t>
          </w:r>
        </w:p>
      </w:tc>
    </w:tr>
    <w:tr w:rsidR="00836E24" w:rsidRPr="00E16467" w14:paraId="6A1B3B4E" w14:textId="77777777" w:rsidTr="00241305">
      <w:trPr>
        <w:jc w:val="center"/>
      </w:trPr>
      <w:tc>
        <w:tcPr>
          <w:tcW w:w="2790" w:type="dxa"/>
          <w:vMerge/>
        </w:tcPr>
        <w:p w14:paraId="2A1A8F70" w14:textId="77777777" w:rsidR="00836E24" w:rsidRPr="00E16467" w:rsidRDefault="00836E24" w:rsidP="007C4F17">
          <w:pPr>
            <w:spacing w:after="0"/>
            <w:jc w:val="right"/>
            <w:rPr>
              <w:rFonts w:ascii="Calibri Light" w:hAnsi="Calibri Light" w:cs="Calibri Light"/>
            </w:rPr>
          </w:pPr>
        </w:p>
      </w:tc>
      <w:tc>
        <w:tcPr>
          <w:tcW w:w="2479" w:type="dxa"/>
        </w:tcPr>
        <w:p w14:paraId="57FD8724" w14:textId="77777777" w:rsidR="00836E24" w:rsidRPr="00D47F00" w:rsidRDefault="00836E24" w:rsidP="007C4F17">
          <w:pPr>
            <w:spacing w:after="0"/>
            <w:jc w:val="right"/>
            <w:rPr>
              <w:rFonts w:ascii="Calibri Light" w:hAnsi="Calibri Light" w:cs="Calibri Light"/>
              <w:b/>
              <w:sz w:val="18"/>
              <w:szCs w:val="18"/>
              <w:lang w:val="en-US"/>
            </w:rPr>
          </w:pPr>
          <w:r w:rsidRPr="00D47F00">
            <w:rPr>
              <w:rFonts w:ascii="Calibri Light" w:hAnsi="Calibri Light" w:cs="Calibri Light"/>
              <w:b/>
              <w:sz w:val="18"/>
              <w:szCs w:val="18"/>
              <w:lang w:val="en-US"/>
            </w:rPr>
            <w:t>Main Office</w:t>
          </w:r>
        </w:p>
        <w:p w14:paraId="3436468C" w14:textId="77777777" w:rsidR="00836E24" w:rsidRPr="00D47F00" w:rsidRDefault="00836E24" w:rsidP="007C4F17">
          <w:pPr>
            <w:spacing w:after="0"/>
            <w:jc w:val="right"/>
            <w:rPr>
              <w:rFonts w:ascii="Calibri Light" w:hAnsi="Calibri Light" w:cs="Calibri Light"/>
              <w:sz w:val="16"/>
              <w:szCs w:val="16"/>
              <w:lang w:val="en-US"/>
            </w:rPr>
          </w:pPr>
          <w:r w:rsidRPr="00D47F00">
            <w:rPr>
              <w:rFonts w:ascii="Calibri Light" w:hAnsi="Calibri Light" w:cs="Calibri Light"/>
              <w:sz w:val="16"/>
              <w:szCs w:val="16"/>
              <w:lang w:val="en-US"/>
            </w:rPr>
            <w:t>5700 SW 34th Street, Suite 349 Gainesville, FL 32608</w:t>
          </w:r>
        </w:p>
        <w:p w14:paraId="213D33DD"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 xml:space="preserve">Tel: +1 352.377.0133 </w:t>
          </w:r>
        </w:p>
        <w:p w14:paraId="43FB784E"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 xml:space="preserve">Fax: +1 352.377.8363 </w:t>
          </w:r>
        </w:p>
      </w:tc>
      <w:tc>
        <w:tcPr>
          <w:tcW w:w="3011" w:type="dxa"/>
        </w:tcPr>
        <w:p w14:paraId="21432C11" w14:textId="77777777" w:rsidR="00836E24" w:rsidRPr="00637364" w:rsidRDefault="00836E24" w:rsidP="007C4F17">
          <w:pPr>
            <w:spacing w:after="0"/>
            <w:jc w:val="right"/>
            <w:rPr>
              <w:rFonts w:ascii="Calibri Light" w:hAnsi="Calibri Light" w:cs="Calibri Light"/>
              <w:b/>
              <w:sz w:val="18"/>
              <w:szCs w:val="18"/>
            </w:rPr>
          </w:pPr>
          <w:r w:rsidRPr="00637364">
            <w:rPr>
              <w:rFonts w:ascii="Calibri Light" w:hAnsi="Calibri Light" w:cs="Calibri Light"/>
              <w:b/>
              <w:sz w:val="18"/>
              <w:szCs w:val="18"/>
            </w:rPr>
            <w:t>QCS Ecuador</w:t>
          </w:r>
        </w:p>
        <w:p w14:paraId="28FE58F3"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 xml:space="preserve">Av. Edmundo Carvajal Oe4-72 y Av. Brasil </w:t>
          </w:r>
        </w:p>
        <w:p w14:paraId="40A734C6"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Edificio Robalino-Acuña, Oficina 202</w:t>
          </w:r>
        </w:p>
        <w:p w14:paraId="69A0693E"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Quito, Ecuador</w:t>
          </w:r>
        </w:p>
        <w:p w14:paraId="49F25D25"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Tel: +593 98.417.6587</w:t>
          </w:r>
        </w:p>
      </w:tc>
      <w:tc>
        <w:tcPr>
          <w:tcW w:w="2520" w:type="dxa"/>
        </w:tcPr>
        <w:p w14:paraId="71EC2450" w14:textId="77777777" w:rsidR="00836E24" w:rsidRPr="00637364" w:rsidRDefault="00836E24" w:rsidP="007C4F17">
          <w:pPr>
            <w:spacing w:after="0"/>
            <w:jc w:val="right"/>
            <w:rPr>
              <w:rFonts w:ascii="Calibri Light" w:hAnsi="Calibri Light" w:cs="Calibri Light"/>
              <w:b/>
              <w:sz w:val="18"/>
              <w:szCs w:val="18"/>
            </w:rPr>
          </w:pPr>
          <w:r w:rsidRPr="00637364">
            <w:rPr>
              <w:rFonts w:ascii="Calibri Light" w:hAnsi="Calibri Light" w:cs="Calibri Light"/>
              <w:b/>
              <w:sz w:val="18"/>
              <w:szCs w:val="18"/>
            </w:rPr>
            <w:t>QCS Caribe, S.R.L.</w:t>
          </w:r>
        </w:p>
        <w:p w14:paraId="0B3A0308"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C/ Independencia No. 93, 2do Nivel</w:t>
          </w:r>
        </w:p>
        <w:p w14:paraId="4B930805"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Mao, Valverde</w:t>
          </w:r>
        </w:p>
        <w:p w14:paraId="62A797E8"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República Dominicana</w:t>
          </w:r>
        </w:p>
        <w:p w14:paraId="527B954B" w14:textId="77777777" w:rsidR="00836E24" w:rsidRPr="00637364" w:rsidRDefault="00836E24" w:rsidP="007C4F17">
          <w:pPr>
            <w:spacing w:after="0"/>
            <w:jc w:val="right"/>
            <w:rPr>
              <w:rFonts w:ascii="Calibri Light" w:hAnsi="Calibri Light" w:cs="Calibri Light"/>
              <w:sz w:val="16"/>
              <w:szCs w:val="16"/>
            </w:rPr>
          </w:pPr>
          <w:r w:rsidRPr="00637364">
            <w:rPr>
              <w:rFonts w:ascii="Calibri Light" w:hAnsi="Calibri Light" w:cs="Calibri Light"/>
              <w:sz w:val="16"/>
              <w:szCs w:val="16"/>
            </w:rPr>
            <w:t>Tel: +1 809.822.9293</w:t>
          </w:r>
        </w:p>
      </w:tc>
    </w:tr>
  </w:tbl>
  <w:p w14:paraId="31BF101B" w14:textId="77777777" w:rsidR="00836E24" w:rsidRPr="00C10EB4" w:rsidRDefault="00836E24" w:rsidP="00C10EB4">
    <w:pPr>
      <w:pStyle w:val="Header"/>
      <w:spacing w:after="0" w:line="240" w:lineRule="auto"/>
      <w:rPr>
        <w:sz w:val="8"/>
        <w:szCs w:val="8"/>
      </w:rPr>
    </w:pPr>
  </w:p>
</w:hdr>
</file>

<file path=word/intelligence2.xml><?xml version="1.0" encoding="utf-8"?>
<int2:intelligence xmlns:int2="http://schemas.microsoft.com/office/intelligence/2020/intelligence" xmlns:oel="http://schemas.microsoft.com/office/2019/extlst">
  <int2:observations>
    <int2:textHash int2:hashCode="2gsp44uBRW4rZ4" int2:id="4yTUBp9W">
      <int2:state int2:value="Rejected" int2:type="AugLoop_Text_Critique"/>
    </int2:textHash>
    <int2:textHash int2:hashCode="ofxI/WY5w/iRxI" int2:id="VDqcPPd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2CD9"/>
    <w:multiLevelType w:val="hybridMultilevel"/>
    <w:tmpl w:val="2812C224"/>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4624FE5"/>
    <w:multiLevelType w:val="hybridMultilevel"/>
    <w:tmpl w:val="0D2C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488E"/>
    <w:multiLevelType w:val="hybridMultilevel"/>
    <w:tmpl w:val="573A9F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974C1"/>
    <w:multiLevelType w:val="hybridMultilevel"/>
    <w:tmpl w:val="1BB40E6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D256520"/>
    <w:multiLevelType w:val="hybridMultilevel"/>
    <w:tmpl w:val="8D080188"/>
    <w:lvl w:ilvl="0" w:tplc="65DC1570">
      <w:start w:val="1"/>
      <w:numFmt w:val="bullet"/>
      <w:lvlText w:val=""/>
      <w:lvlJc w:val="left"/>
      <w:pPr>
        <w:tabs>
          <w:tab w:val="num" w:pos="720"/>
        </w:tabs>
        <w:ind w:left="720" w:hanging="360"/>
      </w:pPr>
      <w:rPr>
        <w:rFonts w:ascii="Symbol" w:hAnsi="Symbol" w:hint="default"/>
        <w:sz w:val="20"/>
      </w:rPr>
    </w:lvl>
    <w:lvl w:ilvl="1" w:tplc="C7BC1952" w:tentative="1">
      <w:start w:val="1"/>
      <w:numFmt w:val="bullet"/>
      <w:lvlText w:val="o"/>
      <w:lvlJc w:val="left"/>
      <w:pPr>
        <w:tabs>
          <w:tab w:val="num" w:pos="1440"/>
        </w:tabs>
        <w:ind w:left="1440" w:hanging="360"/>
      </w:pPr>
      <w:rPr>
        <w:rFonts w:ascii="Courier New" w:hAnsi="Courier New" w:hint="default"/>
        <w:sz w:val="20"/>
      </w:rPr>
    </w:lvl>
    <w:lvl w:ilvl="2" w:tplc="E522C524" w:tentative="1">
      <w:start w:val="1"/>
      <w:numFmt w:val="bullet"/>
      <w:lvlText w:val=""/>
      <w:lvlJc w:val="left"/>
      <w:pPr>
        <w:tabs>
          <w:tab w:val="num" w:pos="2160"/>
        </w:tabs>
        <w:ind w:left="2160" w:hanging="360"/>
      </w:pPr>
      <w:rPr>
        <w:rFonts w:ascii="Wingdings" w:hAnsi="Wingdings" w:hint="default"/>
        <w:sz w:val="20"/>
      </w:rPr>
    </w:lvl>
    <w:lvl w:ilvl="3" w:tplc="76C4B136" w:tentative="1">
      <w:start w:val="1"/>
      <w:numFmt w:val="bullet"/>
      <w:lvlText w:val=""/>
      <w:lvlJc w:val="left"/>
      <w:pPr>
        <w:tabs>
          <w:tab w:val="num" w:pos="2880"/>
        </w:tabs>
        <w:ind w:left="2880" w:hanging="360"/>
      </w:pPr>
      <w:rPr>
        <w:rFonts w:ascii="Wingdings" w:hAnsi="Wingdings" w:hint="default"/>
        <w:sz w:val="20"/>
      </w:rPr>
    </w:lvl>
    <w:lvl w:ilvl="4" w:tplc="05944BA8" w:tentative="1">
      <w:start w:val="1"/>
      <w:numFmt w:val="bullet"/>
      <w:lvlText w:val=""/>
      <w:lvlJc w:val="left"/>
      <w:pPr>
        <w:tabs>
          <w:tab w:val="num" w:pos="3600"/>
        </w:tabs>
        <w:ind w:left="3600" w:hanging="360"/>
      </w:pPr>
      <w:rPr>
        <w:rFonts w:ascii="Wingdings" w:hAnsi="Wingdings" w:hint="default"/>
        <w:sz w:val="20"/>
      </w:rPr>
    </w:lvl>
    <w:lvl w:ilvl="5" w:tplc="E9F2B050" w:tentative="1">
      <w:start w:val="1"/>
      <w:numFmt w:val="bullet"/>
      <w:lvlText w:val=""/>
      <w:lvlJc w:val="left"/>
      <w:pPr>
        <w:tabs>
          <w:tab w:val="num" w:pos="4320"/>
        </w:tabs>
        <w:ind w:left="4320" w:hanging="360"/>
      </w:pPr>
      <w:rPr>
        <w:rFonts w:ascii="Wingdings" w:hAnsi="Wingdings" w:hint="default"/>
        <w:sz w:val="20"/>
      </w:rPr>
    </w:lvl>
    <w:lvl w:ilvl="6" w:tplc="633C801E" w:tentative="1">
      <w:start w:val="1"/>
      <w:numFmt w:val="bullet"/>
      <w:lvlText w:val=""/>
      <w:lvlJc w:val="left"/>
      <w:pPr>
        <w:tabs>
          <w:tab w:val="num" w:pos="5040"/>
        </w:tabs>
        <w:ind w:left="5040" w:hanging="360"/>
      </w:pPr>
      <w:rPr>
        <w:rFonts w:ascii="Wingdings" w:hAnsi="Wingdings" w:hint="default"/>
        <w:sz w:val="20"/>
      </w:rPr>
    </w:lvl>
    <w:lvl w:ilvl="7" w:tplc="995AAD52" w:tentative="1">
      <w:start w:val="1"/>
      <w:numFmt w:val="bullet"/>
      <w:lvlText w:val=""/>
      <w:lvlJc w:val="left"/>
      <w:pPr>
        <w:tabs>
          <w:tab w:val="num" w:pos="5760"/>
        </w:tabs>
        <w:ind w:left="5760" w:hanging="360"/>
      </w:pPr>
      <w:rPr>
        <w:rFonts w:ascii="Wingdings" w:hAnsi="Wingdings" w:hint="default"/>
        <w:sz w:val="20"/>
      </w:rPr>
    </w:lvl>
    <w:lvl w:ilvl="8" w:tplc="B29466F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E33F0"/>
    <w:multiLevelType w:val="hybridMultilevel"/>
    <w:tmpl w:val="F4BC94C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4F1BBC"/>
    <w:multiLevelType w:val="hybridMultilevel"/>
    <w:tmpl w:val="A064CE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A5609B"/>
    <w:multiLevelType w:val="hybridMultilevel"/>
    <w:tmpl w:val="68087CDE"/>
    <w:lvl w:ilvl="0" w:tplc="DC3EBB42">
      <w:start w:val="1"/>
      <w:numFmt w:val="decimal"/>
      <w:lvlText w:val="%1)"/>
      <w:lvlJc w:val="left"/>
      <w:pPr>
        <w:ind w:left="720" w:hanging="360"/>
      </w:pPr>
      <w:rPr>
        <w:rFonts w:asciiTheme="minorHAnsi" w:eastAsia="Times New Roman"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C2EF5"/>
    <w:multiLevelType w:val="hybridMultilevel"/>
    <w:tmpl w:val="4B1A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15371"/>
    <w:multiLevelType w:val="hybridMultilevel"/>
    <w:tmpl w:val="C8E4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A375EC"/>
    <w:multiLevelType w:val="hybridMultilevel"/>
    <w:tmpl w:val="7F14A2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514579"/>
    <w:multiLevelType w:val="multilevel"/>
    <w:tmpl w:val="87B6EC80"/>
    <w:lvl w:ilvl="0">
      <w:start w:val="1"/>
      <w:numFmt w:val="decimal"/>
      <w:lvlText w:val="%1"/>
      <w:lvlJc w:val="left"/>
      <w:pPr>
        <w:tabs>
          <w:tab w:val="num" w:pos="720"/>
        </w:tabs>
        <w:ind w:left="720" w:hanging="720"/>
      </w:pPr>
      <w:rPr>
        <w:rFonts w:cs="Times New Roman"/>
      </w:rPr>
    </w:lvl>
    <w:lvl w:ilvl="1">
      <w:start w:val="1"/>
      <w:numFmt w:val="decimal"/>
      <w:pStyle w:val="QCSHeader3"/>
      <w:lvlText w:val="%1.%2"/>
      <w:lvlJc w:val="left"/>
      <w:pPr>
        <w:tabs>
          <w:tab w:val="num" w:pos="1440"/>
        </w:tabs>
        <w:ind w:left="1440" w:hanging="720"/>
      </w:pPr>
      <w:rPr>
        <w:rFonts w:cs="Times New Roman"/>
      </w:rPr>
    </w:lvl>
    <w:lvl w:ilvl="2">
      <w:start w:val="1"/>
      <w:numFmt w:val="decimal"/>
      <w:lvlText w:val="%1.%2.%3"/>
      <w:lvlJc w:val="left"/>
      <w:pPr>
        <w:tabs>
          <w:tab w:val="num" w:pos="2070"/>
        </w:tabs>
        <w:ind w:left="207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4320"/>
        </w:tabs>
        <w:ind w:left="4320" w:hanging="144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7200"/>
        </w:tabs>
        <w:ind w:left="7200" w:hanging="216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12" w15:restartNumberingAfterBreak="0">
    <w:nsid w:val="17B9637D"/>
    <w:multiLevelType w:val="hybridMultilevel"/>
    <w:tmpl w:val="B37E8E76"/>
    <w:lvl w:ilvl="0" w:tplc="E7F67310">
      <w:start w:val="1"/>
      <w:numFmt w:val="bullet"/>
      <w:lvlText w:val=""/>
      <w:lvlJc w:val="left"/>
      <w:pPr>
        <w:ind w:left="720" w:hanging="360"/>
      </w:pPr>
      <w:rPr>
        <w:rFonts w:ascii="Symbol" w:hAnsi="Symbol" w:hint="default"/>
        <w:sz w:val="22"/>
        <w:szCs w:val="22"/>
      </w:rPr>
    </w:lvl>
    <w:lvl w:ilvl="1" w:tplc="D1BA558A">
      <w:start w:val="1"/>
      <w:numFmt w:val="bullet"/>
      <w:lvlText w:val="o"/>
      <w:lvlJc w:val="left"/>
      <w:pPr>
        <w:ind w:left="1440" w:hanging="360"/>
      </w:pPr>
      <w:rPr>
        <w:rFonts w:ascii="Courier New" w:hAnsi="Courier New" w:hint="default"/>
      </w:rPr>
    </w:lvl>
    <w:lvl w:ilvl="2" w:tplc="0854CF2C">
      <w:start w:val="1"/>
      <w:numFmt w:val="bullet"/>
      <w:lvlText w:val=""/>
      <w:lvlJc w:val="left"/>
      <w:pPr>
        <w:ind w:left="2160" w:hanging="360"/>
      </w:pPr>
      <w:rPr>
        <w:rFonts w:ascii="Wingdings" w:hAnsi="Wingdings" w:hint="default"/>
      </w:rPr>
    </w:lvl>
    <w:lvl w:ilvl="3" w:tplc="5AAA8D2C">
      <w:start w:val="1"/>
      <w:numFmt w:val="bullet"/>
      <w:lvlText w:val=""/>
      <w:lvlJc w:val="left"/>
      <w:pPr>
        <w:ind w:left="2880" w:hanging="360"/>
      </w:pPr>
      <w:rPr>
        <w:rFonts w:ascii="Symbol" w:hAnsi="Symbol" w:hint="default"/>
      </w:rPr>
    </w:lvl>
    <w:lvl w:ilvl="4" w:tplc="5D7A9DD4">
      <w:start w:val="1"/>
      <w:numFmt w:val="bullet"/>
      <w:lvlText w:val="o"/>
      <w:lvlJc w:val="left"/>
      <w:pPr>
        <w:ind w:left="3600" w:hanging="360"/>
      </w:pPr>
      <w:rPr>
        <w:rFonts w:ascii="Courier New" w:hAnsi="Courier New" w:hint="default"/>
      </w:rPr>
    </w:lvl>
    <w:lvl w:ilvl="5" w:tplc="597C8496">
      <w:start w:val="1"/>
      <w:numFmt w:val="bullet"/>
      <w:lvlText w:val=""/>
      <w:lvlJc w:val="left"/>
      <w:pPr>
        <w:ind w:left="4320" w:hanging="360"/>
      </w:pPr>
      <w:rPr>
        <w:rFonts w:ascii="Wingdings" w:hAnsi="Wingdings" w:hint="default"/>
      </w:rPr>
    </w:lvl>
    <w:lvl w:ilvl="6" w:tplc="D6A86B3A">
      <w:start w:val="1"/>
      <w:numFmt w:val="bullet"/>
      <w:lvlText w:val=""/>
      <w:lvlJc w:val="left"/>
      <w:pPr>
        <w:ind w:left="5040" w:hanging="360"/>
      </w:pPr>
      <w:rPr>
        <w:rFonts w:ascii="Symbol" w:hAnsi="Symbol" w:hint="default"/>
      </w:rPr>
    </w:lvl>
    <w:lvl w:ilvl="7" w:tplc="011857CE">
      <w:start w:val="1"/>
      <w:numFmt w:val="bullet"/>
      <w:lvlText w:val="o"/>
      <w:lvlJc w:val="left"/>
      <w:pPr>
        <w:ind w:left="5760" w:hanging="360"/>
      </w:pPr>
      <w:rPr>
        <w:rFonts w:ascii="Courier New" w:hAnsi="Courier New" w:hint="default"/>
      </w:rPr>
    </w:lvl>
    <w:lvl w:ilvl="8" w:tplc="E3140B04">
      <w:start w:val="1"/>
      <w:numFmt w:val="bullet"/>
      <w:lvlText w:val=""/>
      <w:lvlJc w:val="left"/>
      <w:pPr>
        <w:ind w:left="6480" w:hanging="360"/>
      </w:pPr>
      <w:rPr>
        <w:rFonts w:ascii="Wingdings" w:hAnsi="Wingdings" w:hint="default"/>
      </w:rPr>
    </w:lvl>
  </w:abstractNum>
  <w:abstractNum w:abstractNumId="13" w15:restartNumberingAfterBreak="0">
    <w:nsid w:val="21D2EF33"/>
    <w:multiLevelType w:val="hybridMultilevel"/>
    <w:tmpl w:val="1C321E0E"/>
    <w:lvl w:ilvl="0" w:tplc="60DAE9D6">
      <w:start w:val="1"/>
      <w:numFmt w:val="bullet"/>
      <w:lvlText w:val=""/>
      <w:lvlJc w:val="left"/>
      <w:pPr>
        <w:ind w:left="720" w:hanging="360"/>
      </w:pPr>
      <w:rPr>
        <w:rFonts w:ascii="Symbol" w:hAnsi="Symbol" w:hint="default"/>
      </w:rPr>
    </w:lvl>
    <w:lvl w:ilvl="1" w:tplc="76F88194">
      <w:start w:val="1"/>
      <w:numFmt w:val="bullet"/>
      <w:lvlText w:val="o"/>
      <w:lvlJc w:val="left"/>
      <w:pPr>
        <w:ind w:left="1440" w:hanging="360"/>
      </w:pPr>
      <w:rPr>
        <w:rFonts w:ascii="Courier New" w:hAnsi="Courier New" w:hint="default"/>
      </w:rPr>
    </w:lvl>
    <w:lvl w:ilvl="2" w:tplc="AF2261C6">
      <w:start w:val="1"/>
      <w:numFmt w:val="bullet"/>
      <w:lvlText w:val=""/>
      <w:lvlJc w:val="left"/>
      <w:pPr>
        <w:ind w:left="2160" w:hanging="360"/>
      </w:pPr>
      <w:rPr>
        <w:rFonts w:ascii="Wingdings" w:hAnsi="Wingdings" w:hint="default"/>
      </w:rPr>
    </w:lvl>
    <w:lvl w:ilvl="3" w:tplc="64544D2E">
      <w:start w:val="1"/>
      <w:numFmt w:val="bullet"/>
      <w:lvlText w:val=""/>
      <w:lvlJc w:val="left"/>
      <w:pPr>
        <w:ind w:left="2880" w:hanging="360"/>
      </w:pPr>
      <w:rPr>
        <w:rFonts w:ascii="Symbol" w:hAnsi="Symbol" w:hint="default"/>
      </w:rPr>
    </w:lvl>
    <w:lvl w:ilvl="4" w:tplc="4634C75C">
      <w:start w:val="1"/>
      <w:numFmt w:val="bullet"/>
      <w:lvlText w:val="o"/>
      <w:lvlJc w:val="left"/>
      <w:pPr>
        <w:ind w:left="3600" w:hanging="360"/>
      </w:pPr>
      <w:rPr>
        <w:rFonts w:ascii="Courier New" w:hAnsi="Courier New" w:hint="default"/>
      </w:rPr>
    </w:lvl>
    <w:lvl w:ilvl="5" w:tplc="B0900D9A">
      <w:start w:val="1"/>
      <w:numFmt w:val="bullet"/>
      <w:lvlText w:val=""/>
      <w:lvlJc w:val="left"/>
      <w:pPr>
        <w:ind w:left="4320" w:hanging="360"/>
      </w:pPr>
      <w:rPr>
        <w:rFonts w:ascii="Wingdings" w:hAnsi="Wingdings" w:hint="default"/>
      </w:rPr>
    </w:lvl>
    <w:lvl w:ilvl="6" w:tplc="3446B2F0">
      <w:start w:val="1"/>
      <w:numFmt w:val="bullet"/>
      <w:lvlText w:val=""/>
      <w:lvlJc w:val="left"/>
      <w:pPr>
        <w:ind w:left="5040" w:hanging="360"/>
      </w:pPr>
      <w:rPr>
        <w:rFonts w:ascii="Symbol" w:hAnsi="Symbol" w:hint="default"/>
      </w:rPr>
    </w:lvl>
    <w:lvl w:ilvl="7" w:tplc="40C2AAFE">
      <w:start w:val="1"/>
      <w:numFmt w:val="bullet"/>
      <w:lvlText w:val="o"/>
      <w:lvlJc w:val="left"/>
      <w:pPr>
        <w:ind w:left="5760" w:hanging="360"/>
      </w:pPr>
      <w:rPr>
        <w:rFonts w:ascii="Courier New" w:hAnsi="Courier New" w:hint="default"/>
      </w:rPr>
    </w:lvl>
    <w:lvl w:ilvl="8" w:tplc="7D825172">
      <w:start w:val="1"/>
      <w:numFmt w:val="bullet"/>
      <w:lvlText w:val=""/>
      <w:lvlJc w:val="left"/>
      <w:pPr>
        <w:ind w:left="6480" w:hanging="360"/>
      </w:pPr>
      <w:rPr>
        <w:rFonts w:ascii="Wingdings" w:hAnsi="Wingdings" w:hint="default"/>
      </w:rPr>
    </w:lvl>
  </w:abstractNum>
  <w:abstractNum w:abstractNumId="14" w15:restartNumberingAfterBreak="0">
    <w:nsid w:val="257F2A94"/>
    <w:multiLevelType w:val="hybridMultilevel"/>
    <w:tmpl w:val="0818DF04"/>
    <w:lvl w:ilvl="0" w:tplc="04090001">
      <w:start w:val="1"/>
      <w:numFmt w:val="bullet"/>
      <w:lvlText w:val=""/>
      <w:lvlJc w:val="left"/>
      <w:pPr>
        <w:ind w:left="720" w:hanging="360"/>
      </w:pPr>
      <w:rPr>
        <w:rFonts w:ascii="Symbol" w:hAnsi="Symbol" w:hint="default"/>
        <w:lang w:val="es-E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D93ADB"/>
    <w:multiLevelType w:val="hybridMultilevel"/>
    <w:tmpl w:val="E604A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3BF3"/>
    <w:multiLevelType w:val="hybridMultilevel"/>
    <w:tmpl w:val="47BA2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50748"/>
    <w:multiLevelType w:val="hybridMultilevel"/>
    <w:tmpl w:val="EADA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6ACD2"/>
    <w:multiLevelType w:val="hybridMultilevel"/>
    <w:tmpl w:val="8A14B6A8"/>
    <w:lvl w:ilvl="0" w:tplc="CBA4E668">
      <w:start w:val="1"/>
      <w:numFmt w:val="bullet"/>
      <w:lvlText w:val=""/>
      <w:lvlJc w:val="left"/>
      <w:pPr>
        <w:ind w:left="720" w:hanging="360"/>
      </w:pPr>
      <w:rPr>
        <w:rFonts w:ascii="Symbol" w:hAnsi="Symbol" w:hint="default"/>
      </w:rPr>
    </w:lvl>
    <w:lvl w:ilvl="1" w:tplc="D1B6C18C">
      <w:start w:val="1"/>
      <w:numFmt w:val="bullet"/>
      <w:lvlText w:val="o"/>
      <w:lvlJc w:val="left"/>
      <w:pPr>
        <w:ind w:left="1440" w:hanging="360"/>
      </w:pPr>
      <w:rPr>
        <w:rFonts w:ascii="Courier New" w:hAnsi="Courier New" w:hint="default"/>
      </w:rPr>
    </w:lvl>
    <w:lvl w:ilvl="2" w:tplc="95B4BB92">
      <w:start w:val="1"/>
      <w:numFmt w:val="bullet"/>
      <w:lvlText w:val=""/>
      <w:lvlJc w:val="left"/>
      <w:pPr>
        <w:ind w:left="2160" w:hanging="360"/>
      </w:pPr>
      <w:rPr>
        <w:rFonts w:ascii="Wingdings" w:hAnsi="Wingdings" w:hint="default"/>
      </w:rPr>
    </w:lvl>
    <w:lvl w:ilvl="3" w:tplc="7A4AD924">
      <w:start w:val="1"/>
      <w:numFmt w:val="bullet"/>
      <w:lvlText w:val=""/>
      <w:lvlJc w:val="left"/>
      <w:pPr>
        <w:ind w:left="2880" w:hanging="360"/>
      </w:pPr>
      <w:rPr>
        <w:rFonts w:ascii="Symbol" w:hAnsi="Symbol" w:hint="default"/>
      </w:rPr>
    </w:lvl>
    <w:lvl w:ilvl="4" w:tplc="FAD08E92">
      <w:start w:val="1"/>
      <w:numFmt w:val="bullet"/>
      <w:lvlText w:val="o"/>
      <w:lvlJc w:val="left"/>
      <w:pPr>
        <w:ind w:left="3600" w:hanging="360"/>
      </w:pPr>
      <w:rPr>
        <w:rFonts w:ascii="Courier New" w:hAnsi="Courier New" w:hint="default"/>
      </w:rPr>
    </w:lvl>
    <w:lvl w:ilvl="5" w:tplc="190A17CA">
      <w:start w:val="1"/>
      <w:numFmt w:val="bullet"/>
      <w:lvlText w:val=""/>
      <w:lvlJc w:val="left"/>
      <w:pPr>
        <w:ind w:left="4320" w:hanging="360"/>
      </w:pPr>
      <w:rPr>
        <w:rFonts w:ascii="Wingdings" w:hAnsi="Wingdings" w:hint="default"/>
      </w:rPr>
    </w:lvl>
    <w:lvl w:ilvl="6" w:tplc="E29C21CA">
      <w:start w:val="1"/>
      <w:numFmt w:val="bullet"/>
      <w:lvlText w:val=""/>
      <w:lvlJc w:val="left"/>
      <w:pPr>
        <w:ind w:left="5040" w:hanging="360"/>
      </w:pPr>
      <w:rPr>
        <w:rFonts w:ascii="Symbol" w:hAnsi="Symbol" w:hint="default"/>
      </w:rPr>
    </w:lvl>
    <w:lvl w:ilvl="7" w:tplc="CB028594">
      <w:start w:val="1"/>
      <w:numFmt w:val="bullet"/>
      <w:lvlText w:val="o"/>
      <w:lvlJc w:val="left"/>
      <w:pPr>
        <w:ind w:left="5760" w:hanging="360"/>
      </w:pPr>
      <w:rPr>
        <w:rFonts w:ascii="Courier New" w:hAnsi="Courier New" w:hint="default"/>
      </w:rPr>
    </w:lvl>
    <w:lvl w:ilvl="8" w:tplc="F9EC70A2">
      <w:start w:val="1"/>
      <w:numFmt w:val="bullet"/>
      <w:lvlText w:val=""/>
      <w:lvlJc w:val="left"/>
      <w:pPr>
        <w:ind w:left="6480" w:hanging="360"/>
      </w:pPr>
      <w:rPr>
        <w:rFonts w:ascii="Wingdings" w:hAnsi="Wingdings" w:hint="default"/>
      </w:rPr>
    </w:lvl>
  </w:abstractNum>
  <w:abstractNum w:abstractNumId="19" w15:restartNumberingAfterBreak="0">
    <w:nsid w:val="3CCC2AB4"/>
    <w:multiLevelType w:val="hybridMultilevel"/>
    <w:tmpl w:val="A4FCCEE8"/>
    <w:lvl w:ilvl="0" w:tplc="04090017">
      <w:start w:val="1"/>
      <w:numFmt w:val="lowerLetter"/>
      <w:lvlText w:val="%1)"/>
      <w:lvlJc w:val="left"/>
      <w:pPr>
        <w:ind w:left="144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3E9B10A1"/>
    <w:multiLevelType w:val="hybridMultilevel"/>
    <w:tmpl w:val="85187904"/>
    <w:lvl w:ilvl="0" w:tplc="E5A81402">
      <w:start w:val="1"/>
      <w:numFmt w:val="lowerLetter"/>
      <w:lvlText w:val="%1)"/>
      <w:lvlJc w:val="left"/>
      <w:pPr>
        <w:tabs>
          <w:tab w:val="num" w:pos="2520"/>
        </w:tabs>
        <w:ind w:left="2520" w:hanging="360"/>
      </w:pPr>
      <w:rPr>
        <w:rFonts w:cs="Times New Roman"/>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21" w15:restartNumberingAfterBreak="0">
    <w:nsid w:val="482F01D4"/>
    <w:multiLevelType w:val="hybridMultilevel"/>
    <w:tmpl w:val="ABA2D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D71BBF"/>
    <w:multiLevelType w:val="hybridMultilevel"/>
    <w:tmpl w:val="3594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83CA1"/>
    <w:multiLevelType w:val="hybridMultilevel"/>
    <w:tmpl w:val="CD9C5942"/>
    <w:lvl w:ilvl="0" w:tplc="0409000F">
      <w:start w:val="1"/>
      <w:numFmt w:val="decimal"/>
      <w:lvlText w:val="%1."/>
      <w:lvlJc w:val="left"/>
      <w:pPr>
        <w:ind w:left="720" w:hanging="360"/>
      </w:pPr>
    </w:lvl>
    <w:lvl w:ilvl="1" w:tplc="CBB223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5D60FF"/>
    <w:multiLevelType w:val="hybridMultilevel"/>
    <w:tmpl w:val="2CE6EF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A939AE"/>
    <w:multiLevelType w:val="hybridMultilevel"/>
    <w:tmpl w:val="983E31B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00000"/>
    <w:multiLevelType w:val="hybridMultilevel"/>
    <w:tmpl w:val="5BA89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AD6372"/>
    <w:multiLevelType w:val="hybridMultilevel"/>
    <w:tmpl w:val="ADC4BB9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9E4BE7"/>
    <w:multiLevelType w:val="hybridMultilevel"/>
    <w:tmpl w:val="C7FEDA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2C02E3"/>
    <w:multiLevelType w:val="hybridMultilevel"/>
    <w:tmpl w:val="D9A8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3D1B28"/>
    <w:multiLevelType w:val="hybridMultilevel"/>
    <w:tmpl w:val="FACAD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9558F0"/>
    <w:multiLevelType w:val="hybridMultilevel"/>
    <w:tmpl w:val="683C6276"/>
    <w:lvl w:ilvl="0" w:tplc="04090011">
      <w:start w:val="1"/>
      <w:numFmt w:val="decimal"/>
      <w:lvlText w:val="%1)"/>
      <w:lvlJc w:val="left"/>
      <w:pPr>
        <w:ind w:left="720" w:hanging="360"/>
      </w:pPr>
    </w:lvl>
    <w:lvl w:ilvl="1" w:tplc="A72014B0">
      <w:start w:val="1"/>
      <w:numFmt w:val="lowerLetter"/>
      <w:lvlText w:val="%2)"/>
      <w:lvlJc w:val="left"/>
      <w:pPr>
        <w:ind w:left="1440" w:hanging="360"/>
      </w:pPr>
      <w:rPr>
        <w:rFonts w:hint="default"/>
      </w:rPr>
    </w:lvl>
    <w:lvl w:ilvl="2" w:tplc="AACE1AD8">
      <w:start w:val="1"/>
      <w:numFmt w:val="decimal"/>
      <w:lvlText w:val="%3)"/>
      <w:lvlJc w:val="left"/>
      <w:pPr>
        <w:ind w:left="72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50A8B"/>
    <w:multiLevelType w:val="hybridMultilevel"/>
    <w:tmpl w:val="2EC8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A66613"/>
    <w:multiLevelType w:val="hybridMultilevel"/>
    <w:tmpl w:val="4D9E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23F41"/>
    <w:multiLevelType w:val="hybridMultilevel"/>
    <w:tmpl w:val="C9A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11BB5"/>
    <w:multiLevelType w:val="hybridMultilevel"/>
    <w:tmpl w:val="471A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16722E"/>
    <w:multiLevelType w:val="hybridMultilevel"/>
    <w:tmpl w:val="4BE06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F40B8F"/>
    <w:multiLevelType w:val="hybridMultilevel"/>
    <w:tmpl w:val="54106E92"/>
    <w:lvl w:ilvl="0" w:tplc="04090001">
      <w:start w:val="1"/>
      <w:numFmt w:val="bullet"/>
      <w:lvlText w:val=""/>
      <w:lvlJc w:val="left"/>
      <w:pPr>
        <w:ind w:left="720" w:hanging="360"/>
      </w:pPr>
      <w:rPr>
        <w:rFonts w:ascii="Symbol" w:hAnsi="Symbol" w:hint="default"/>
      </w:rPr>
    </w:lvl>
    <w:lvl w:ilvl="1" w:tplc="E9785E74">
      <w:start w:val="1"/>
      <w:numFmt w:val="decimal"/>
      <w:lvlText w:val="%2)"/>
      <w:lvlJc w:val="left"/>
      <w:pPr>
        <w:ind w:left="1845" w:hanging="765"/>
      </w:pPr>
      <w:rPr>
        <w:rFonts w:hint="default"/>
      </w:rPr>
    </w:lvl>
    <w:lvl w:ilvl="2" w:tplc="943A0BB6">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0C263D"/>
    <w:multiLevelType w:val="hybridMultilevel"/>
    <w:tmpl w:val="01906B3C"/>
    <w:lvl w:ilvl="0" w:tplc="04090011">
      <w:start w:val="1"/>
      <w:numFmt w:val="decimal"/>
      <w:lvlText w:val="%1)"/>
      <w:lvlJc w:val="left"/>
      <w:pPr>
        <w:ind w:left="720" w:hanging="360"/>
      </w:pPr>
    </w:lvl>
    <w:lvl w:ilvl="1" w:tplc="3AF059E4">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12AA1"/>
    <w:multiLevelType w:val="hybridMultilevel"/>
    <w:tmpl w:val="5F4C4468"/>
    <w:lvl w:ilvl="0" w:tplc="D0C46D10">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319457">
    <w:abstractNumId w:val="18"/>
  </w:num>
  <w:num w:numId="2" w16cid:durableId="1665013892">
    <w:abstractNumId w:val="12"/>
  </w:num>
  <w:num w:numId="3" w16cid:durableId="831213432">
    <w:abstractNumId w:val="13"/>
  </w:num>
  <w:num w:numId="4" w16cid:durableId="1437016908">
    <w:abstractNumId w:val="11"/>
  </w:num>
  <w:num w:numId="5" w16cid:durableId="1675574754">
    <w:abstractNumId w:val="19"/>
  </w:num>
  <w:num w:numId="6" w16cid:durableId="1530070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4878376">
    <w:abstractNumId w:val="20"/>
  </w:num>
  <w:num w:numId="8" w16cid:durableId="1010133898">
    <w:abstractNumId w:val="37"/>
  </w:num>
  <w:num w:numId="9" w16cid:durableId="1353646237">
    <w:abstractNumId w:val="25"/>
  </w:num>
  <w:num w:numId="10" w16cid:durableId="1742487609">
    <w:abstractNumId w:val="29"/>
  </w:num>
  <w:num w:numId="11" w16cid:durableId="2021272534">
    <w:abstractNumId w:val="33"/>
  </w:num>
  <w:num w:numId="12" w16cid:durableId="500387039">
    <w:abstractNumId w:val="38"/>
  </w:num>
  <w:num w:numId="13" w16cid:durableId="1382553292">
    <w:abstractNumId w:val="15"/>
  </w:num>
  <w:num w:numId="14" w16cid:durableId="303659339">
    <w:abstractNumId w:val="2"/>
  </w:num>
  <w:num w:numId="15" w16cid:durableId="1457795788">
    <w:abstractNumId w:val="16"/>
  </w:num>
  <w:num w:numId="16" w16cid:durableId="688724758">
    <w:abstractNumId w:val="30"/>
  </w:num>
  <w:num w:numId="17" w16cid:durableId="817381811">
    <w:abstractNumId w:val="36"/>
  </w:num>
  <w:num w:numId="18" w16cid:durableId="660933978">
    <w:abstractNumId w:val="35"/>
  </w:num>
  <w:num w:numId="19" w16cid:durableId="2131509699">
    <w:abstractNumId w:val="31"/>
  </w:num>
  <w:num w:numId="20" w16cid:durableId="992369903">
    <w:abstractNumId w:val="1"/>
  </w:num>
  <w:num w:numId="21" w16cid:durableId="748893170">
    <w:abstractNumId w:val="9"/>
  </w:num>
  <w:num w:numId="22" w16cid:durableId="2137674496">
    <w:abstractNumId w:val="4"/>
  </w:num>
  <w:num w:numId="23" w16cid:durableId="823619939">
    <w:abstractNumId w:val="7"/>
  </w:num>
  <w:num w:numId="24" w16cid:durableId="1790666428">
    <w:abstractNumId w:val="39"/>
  </w:num>
  <w:num w:numId="25" w16cid:durableId="1045063714">
    <w:abstractNumId w:val="8"/>
  </w:num>
  <w:num w:numId="26" w16cid:durableId="842208943">
    <w:abstractNumId w:val="34"/>
  </w:num>
  <w:num w:numId="27" w16cid:durableId="1167162404">
    <w:abstractNumId w:val="23"/>
  </w:num>
  <w:num w:numId="28" w16cid:durableId="65805605">
    <w:abstractNumId w:val="21"/>
  </w:num>
  <w:num w:numId="29" w16cid:durableId="63258227">
    <w:abstractNumId w:val="10"/>
  </w:num>
  <w:num w:numId="30" w16cid:durableId="1029525415">
    <w:abstractNumId w:val="5"/>
  </w:num>
  <w:num w:numId="31" w16cid:durableId="1487479126">
    <w:abstractNumId w:val="24"/>
  </w:num>
  <w:num w:numId="32" w16cid:durableId="1134061903">
    <w:abstractNumId w:val="6"/>
  </w:num>
  <w:num w:numId="33" w16cid:durableId="1790589784">
    <w:abstractNumId w:val="27"/>
  </w:num>
  <w:num w:numId="34" w16cid:durableId="523709755">
    <w:abstractNumId w:val="28"/>
  </w:num>
  <w:num w:numId="35" w16cid:durableId="748191091">
    <w:abstractNumId w:val="14"/>
  </w:num>
  <w:num w:numId="36" w16cid:durableId="962345660">
    <w:abstractNumId w:val="32"/>
  </w:num>
  <w:num w:numId="37" w16cid:durableId="1433744781">
    <w:abstractNumId w:val="3"/>
  </w:num>
  <w:num w:numId="38" w16cid:durableId="1826042570">
    <w:abstractNumId w:val="17"/>
  </w:num>
  <w:num w:numId="39" w16cid:durableId="484054088">
    <w:abstractNumId w:val="22"/>
  </w:num>
  <w:num w:numId="40" w16cid:durableId="1292177637">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CiE4c0yvbnmcJt+aVMoWfJXug7VqYDMIA1EjICToZlYZckwSBzmwU5wXARaYuBuUh1zFmfYhRKt23UivDyR/wQ==" w:salt="1lLfHREmhdGl42PrvonnHQ=="/>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5F"/>
    <w:rsid w:val="00001760"/>
    <w:rsid w:val="00002ACC"/>
    <w:rsid w:val="00003F90"/>
    <w:rsid w:val="00004CDB"/>
    <w:rsid w:val="00005B67"/>
    <w:rsid w:val="000071CC"/>
    <w:rsid w:val="000106C0"/>
    <w:rsid w:val="00011272"/>
    <w:rsid w:val="00011489"/>
    <w:rsid w:val="000122C6"/>
    <w:rsid w:val="000128B2"/>
    <w:rsid w:val="00012DD8"/>
    <w:rsid w:val="00012E20"/>
    <w:rsid w:val="000149DA"/>
    <w:rsid w:val="00016A69"/>
    <w:rsid w:val="00017356"/>
    <w:rsid w:val="000178A7"/>
    <w:rsid w:val="00021025"/>
    <w:rsid w:val="00022D53"/>
    <w:rsid w:val="00023912"/>
    <w:rsid w:val="00025274"/>
    <w:rsid w:val="0002530B"/>
    <w:rsid w:val="000265A7"/>
    <w:rsid w:val="00027384"/>
    <w:rsid w:val="000278D6"/>
    <w:rsid w:val="00030F63"/>
    <w:rsid w:val="000321A8"/>
    <w:rsid w:val="00032298"/>
    <w:rsid w:val="000329C9"/>
    <w:rsid w:val="000338E5"/>
    <w:rsid w:val="0003454A"/>
    <w:rsid w:val="000345EF"/>
    <w:rsid w:val="00034EE6"/>
    <w:rsid w:val="0003793B"/>
    <w:rsid w:val="00037BBC"/>
    <w:rsid w:val="00040FB8"/>
    <w:rsid w:val="00041136"/>
    <w:rsid w:val="00041322"/>
    <w:rsid w:val="00041604"/>
    <w:rsid w:val="000419A0"/>
    <w:rsid w:val="00041D94"/>
    <w:rsid w:val="00042B64"/>
    <w:rsid w:val="00043FAC"/>
    <w:rsid w:val="00044C27"/>
    <w:rsid w:val="00044E01"/>
    <w:rsid w:val="00045F57"/>
    <w:rsid w:val="00046DF4"/>
    <w:rsid w:val="00050DC2"/>
    <w:rsid w:val="0005370C"/>
    <w:rsid w:val="0005371A"/>
    <w:rsid w:val="00054E5C"/>
    <w:rsid w:val="00055A7C"/>
    <w:rsid w:val="000575D6"/>
    <w:rsid w:val="000579B9"/>
    <w:rsid w:val="00061952"/>
    <w:rsid w:val="00062E47"/>
    <w:rsid w:val="00063F49"/>
    <w:rsid w:val="00065A16"/>
    <w:rsid w:val="00065D8F"/>
    <w:rsid w:val="00065F7D"/>
    <w:rsid w:val="00067A0B"/>
    <w:rsid w:val="00070F34"/>
    <w:rsid w:val="00072A68"/>
    <w:rsid w:val="00074EC4"/>
    <w:rsid w:val="00077910"/>
    <w:rsid w:val="00077A22"/>
    <w:rsid w:val="000803CC"/>
    <w:rsid w:val="00080F3B"/>
    <w:rsid w:val="0008516C"/>
    <w:rsid w:val="0008545D"/>
    <w:rsid w:val="000857E0"/>
    <w:rsid w:val="00086D0E"/>
    <w:rsid w:val="000874C8"/>
    <w:rsid w:val="0008770B"/>
    <w:rsid w:val="00087B99"/>
    <w:rsid w:val="0009045A"/>
    <w:rsid w:val="00090573"/>
    <w:rsid w:val="00090858"/>
    <w:rsid w:val="0009283C"/>
    <w:rsid w:val="00092CA6"/>
    <w:rsid w:val="00093E61"/>
    <w:rsid w:val="00096538"/>
    <w:rsid w:val="000974DB"/>
    <w:rsid w:val="000A0768"/>
    <w:rsid w:val="000A0EAC"/>
    <w:rsid w:val="000B0996"/>
    <w:rsid w:val="000B2214"/>
    <w:rsid w:val="000B5C5E"/>
    <w:rsid w:val="000B6011"/>
    <w:rsid w:val="000B796A"/>
    <w:rsid w:val="000B7E2E"/>
    <w:rsid w:val="000C0179"/>
    <w:rsid w:val="000C11CB"/>
    <w:rsid w:val="000C2E7B"/>
    <w:rsid w:val="000C4B1A"/>
    <w:rsid w:val="000C5223"/>
    <w:rsid w:val="000C6B8C"/>
    <w:rsid w:val="000D00C5"/>
    <w:rsid w:val="000D03A2"/>
    <w:rsid w:val="000D0652"/>
    <w:rsid w:val="000D101C"/>
    <w:rsid w:val="000D14A0"/>
    <w:rsid w:val="000D1A70"/>
    <w:rsid w:val="000D3564"/>
    <w:rsid w:val="000D3AD5"/>
    <w:rsid w:val="000D3E8A"/>
    <w:rsid w:val="000D4C1B"/>
    <w:rsid w:val="000D54D5"/>
    <w:rsid w:val="000D5841"/>
    <w:rsid w:val="000D5E67"/>
    <w:rsid w:val="000D71EB"/>
    <w:rsid w:val="000E13E8"/>
    <w:rsid w:val="000E2AA7"/>
    <w:rsid w:val="000E3CCF"/>
    <w:rsid w:val="000E40C2"/>
    <w:rsid w:val="000E585D"/>
    <w:rsid w:val="000E58F8"/>
    <w:rsid w:val="000E5B6F"/>
    <w:rsid w:val="000E6DDB"/>
    <w:rsid w:val="000E78AC"/>
    <w:rsid w:val="000E7926"/>
    <w:rsid w:val="000F012C"/>
    <w:rsid w:val="000F16F7"/>
    <w:rsid w:val="000F1A94"/>
    <w:rsid w:val="000F5711"/>
    <w:rsid w:val="000F7425"/>
    <w:rsid w:val="000F7E0A"/>
    <w:rsid w:val="00100519"/>
    <w:rsid w:val="001014F9"/>
    <w:rsid w:val="00102420"/>
    <w:rsid w:val="00102B7F"/>
    <w:rsid w:val="00103C29"/>
    <w:rsid w:val="00104442"/>
    <w:rsid w:val="001057C4"/>
    <w:rsid w:val="00106A14"/>
    <w:rsid w:val="00110A71"/>
    <w:rsid w:val="00112344"/>
    <w:rsid w:val="0011235A"/>
    <w:rsid w:val="00112D91"/>
    <w:rsid w:val="00114213"/>
    <w:rsid w:val="0011423B"/>
    <w:rsid w:val="00114482"/>
    <w:rsid w:val="00114498"/>
    <w:rsid w:val="00116E3B"/>
    <w:rsid w:val="00120AFF"/>
    <w:rsid w:val="00120F41"/>
    <w:rsid w:val="001211C5"/>
    <w:rsid w:val="00121587"/>
    <w:rsid w:val="00121B05"/>
    <w:rsid w:val="0012329E"/>
    <w:rsid w:val="001234CD"/>
    <w:rsid w:val="001240AC"/>
    <w:rsid w:val="00124536"/>
    <w:rsid w:val="001251A4"/>
    <w:rsid w:val="00125A28"/>
    <w:rsid w:val="00125F8D"/>
    <w:rsid w:val="001260D2"/>
    <w:rsid w:val="00126D9E"/>
    <w:rsid w:val="00127540"/>
    <w:rsid w:val="00130144"/>
    <w:rsid w:val="00130689"/>
    <w:rsid w:val="001310D9"/>
    <w:rsid w:val="001319B1"/>
    <w:rsid w:val="0013202D"/>
    <w:rsid w:val="00133933"/>
    <w:rsid w:val="00134052"/>
    <w:rsid w:val="0013481A"/>
    <w:rsid w:val="00135651"/>
    <w:rsid w:val="00135EA8"/>
    <w:rsid w:val="00137B6D"/>
    <w:rsid w:val="001407B8"/>
    <w:rsid w:val="00140BFC"/>
    <w:rsid w:val="001415BF"/>
    <w:rsid w:val="00143DDE"/>
    <w:rsid w:val="0014741C"/>
    <w:rsid w:val="00152C01"/>
    <w:rsid w:val="001536EC"/>
    <w:rsid w:val="00154036"/>
    <w:rsid w:val="00155A74"/>
    <w:rsid w:val="00156879"/>
    <w:rsid w:val="001571ED"/>
    <w:rsid w:val="0016108B"/>
    <w:rsid w:val="0016126C"/>
    <w:rsid w:val="00161AE2"/>
    <w:rsid w:val="00162BFA"/>
    <w:rsid w:val="00162E7D"/>
    <w:rsid w:val="001637B9"/>
    <w:rsid w:val="001651CE"/>
    <w:rsid w:val="001654F7"/>
    <w:rsid w:val="001656A8"/>
    <w:rsid w:val="00165DAE"/>
    <w:rsid w:val="00171CBE"/>
    <w:rsid w:val="0017298F"/>
    <w:rsid w:val="00172AFB"/>
    <w:rsid w:val="00173C75"/>
    <w:rsid w:val="00174A43"/>
    <w:rsid w:val="00174C8E"/>
    <w:rsid w:val="00175BDC"/>
    <w:rsid w:val="00176114"/>
    <w:rsid w:val="00176ACB"/>
    <w:rsid w:val="00176DD1"/>
    <w:rsid w:val="00177592"/>
    <w:rsid w:val="00180573"/>
    <w:rsid w:val="001811CC"/>
    <w:rsid w:val="00181951"/>
    <w:rsid w:val="00182531"/>
    <w:rsid w:val="00182B1D"/>
    <w:rsid w:val="00183280"/>
    <w:rsid w:val="00184473"/>
    <w:rsid w:val="001845E2"/>
    <w:rsid w:val="00184C37"/>
    <w:rsid w:val="00192108"/>
    <w:rsid w:val="001925FB"/>
    <w:rsid w:val="00193AD6"/>
    <w:rsid w:val="00193CD8"/>
    <w:rsid w:val="00194815"/>
    <w:rsid w:val="00194C4D"/>
    <w:rsid w:val="0019554B"/>
    <w:rsid w:val="001958D5"/>
    <w:rsid w:val="00195FD7"/>
    <w:rsid w:val="00196474"/>
    <w:rsid w:val="001968F4"/>
    <w:rsid w:val="00196D65"/>
    <w:rsid w:val="001972F7"/>
    <w:rsid w:val="00197C4F"/>
    <w:rsid w:val="001A06CF"/>
    <w:rsid w:val="001A1513"/>
    <w:rsid w:val="001A1BCF"/>
    <w:rsid w:val="001A264C"/>
    <w:rsid w:val="001A2C21"/>
    <w:rsid w:val="001A3BA7"/>
    <w:rsid w:val="001A5412"/>
    <w:rsid w:val="001A6A42"/>
    <w:rsid w:val="001A6BCF"/>
    <w:rsid w:val="001A6F0E"/>
    <w:rsid w:val="001B02BD"/>
    <w:rsid w:val="001B07A4"/>
    <w:rsid w:val="001B0878"/>
    <w:rsid w:val="001B1447"/>
    <w:rsid w:val="001B2767"/>
    <w:rsid w:val="001B2C1E"/>
    <w:rsid w:val="001B36CF"/>
    <w:rsid w:val="001B3B22"/>
    <w:rsid w:val="001B3BFA"/>
    <w:rsid w:val="001B4007"/>
    <w:rsid w:val="001B42B0"/>
    <w:rsid w:val="001B55BB"/>
    <w:rsid w:val="001B6D89"/>
    <w:rsid w:val="001B6EF7"/>
    <w:rsid w:val="001B71B9"/>
    <w:rsid w:val="001B7559"/>
    <w:rsid w:val="001B7C53"/>
    <w:rsid w:val="001C1BC3"/>
    <w:rsid w:val="001C22D1"/>
    <w:rsid w:val="001C2F13"/>
    <w:rsid w:val="001C32FA"/>
    <w:rsid w:val="001C5094"/>
    <w:rsid w:val="001C7914"/>
    <w:rsid w:val="001D1CF6"/>
    <w:rsid w:val="001D2070"/>
    <w:rsid w:val="001D262F"/>
    <w:rsid w:val="001D2B0C"/>
    <w:rsid w:val="001D2CAC"/>
    <w:rsid w:val="001D3F40"/>
    <w:rsid w:val="001D4402"/>
    <w:rsid w:val="001D45B5"/>
    <w:rsid w:val="001D5082"/>
    <w:rsid w:val="001D51CA"/>
    <w:rsid w:val="001D6818"/>
    <w:rsid w:val="001E009B"/>
    <w:rsid w:val="001E0B37"/>
    <w:rsid w:val="001E12E5"/>
    <w:rsid w:val="001E2C06"/>
    <w:rsid w:val="001E2FDB"/>
    <w:rsid w:val="001E55B8"/>
    <w:rsid w:val="001E58BE"/>
    <w:rsid w:val="001E64AC"/>
    <w:rsid w:val="001E7B27"/>
    <w:rsid w:val="001F03FE"/>
    <w:rsid w:val="001F061F"/>
    <w:rsid w:val="001F1D9A"/>
    <w:rsid w:val="001F1F8A"/>
    <w:rsid w:val="001F24DC"/>
    <w:rsid w:val="001F3BB8"/>
    <w:rsid w:val="001F4066"/>
    <w:rsid w:val="001F51D1"/>
    <w:rsid w:val="001F56C3"/>
    <w:rsid w:val="001F6E20"/>
    <w:rsid w:val="001F72A2"/>
    <w:rsid w:val="00201EAB"/>
    <w:rsid w:val="0020411B"/>
    <w:rsid w:val="0021029E"/>
    <w:rsid w:val="0021123B"/>
    <w:rsid w:val="0021142C"/>
    <w:rsid w:val="002119E8"/>
    <w:rsid w:val="00211F99"/>
    <w:rsid w:val="002121CA"/>
    <w:rsid w:val="00212BC8"/>
    <w:rsid w:val="0021320D"/>
    <w:rsid w:val="002135CE"/>
    <w:rsid w:val="0021483C"/>
    <w:rsid w:val="00214D1C"/>
    <w:rsid w:val="00215191"/>
    <w:rsid w:val="0021598B"/>
    <w:rsid w:val="00215E19"/>
    <w:rsid w:val="002161AC"/>
    <w:rsid w:val="00216F1F"/>
    <w:rsid w:val="00217506"/>
    <w:rsid w:val="00220C4A"/>
    <w:rsid w:val="00223333"/>
    <w:rsid w:val="002254D9"/>
    <w:rsid w:val="002261B7"/>
    <w:rsid w:val="002266B0"/>
    <w:rsid w:val="00226B51"/>
    <w:rsid w:val="00230BFC"/>
    <w:rsid w:val="0023124F"/>
    <w:rsid w:val="00231702"/>
    <w:rsid w:val="0023218F"/>
    <w:rsid w:val="0023269F"/>
    <w:rsid w:val="00232FEC"/>
    <w:rsid w:val="00234AE4"/>
    <w:rsid w:val="00235823"/>
    <w:rsid w:val="00235E6E"/>
    <w:rsid w:val="002401F9"/>
    <w:rsid w:val="00240D09"/>
    <w:rsid w:val="00243097"/>
    <w:rsid w:val="002433E7"/>
    <w:rsid w:val="002452E5"/>
    <w:rsid w:val="00245A6B"/>
    <w:rsid w:val="002460D9"/>
    <w:rsid w:val="00250AB0"/>
    <w:rsid w:val="00251740"/>
    <w:rsid w:val="0025184C"/>
    <w:rsid w:val="00253C84"/>
    <w:rsid w:val="00256377"/>
    <w:rsid w:val="0025707B"/>
    <w:rsid w:val="0026143F"/>
    <w:rsid w:val="00261A32"/>
    <w:rsid w:val="00262759"/>
    <w:rsid w:val="00263222"/>
    <w:rsid w:val="00264808"/>
    <w:rsid w:val="0026526D"/>
    <w:rsid w:val="00265517"/>
    <w:rsid w:val="0026578F"/>
    <w:rsid w:val="00266915"/>
    <w:rsid w:val="00266A1C"/>
    <w:rsid w:val="00267C3D"/>
    <w:rsid w:val="00270B48"/>
    <w:rsid w:val="002717F1"/>
    <w:rsid w:val="002735CF"/>
    <w:rsid w:val="00273F97"/>
    <w:rsid w:val="002749A2"/>
    <w:rsid w:val="00274F40"/>
    <w:rsid w:val="00275269"/>
    <w:rsid w:val="002768EB"/>
    <w:rsid w:val="002774DC"/>
    <w:rsid w:val="002805FD"/>
    <w:rsid w:val="002808F8"/>
    <w:rsid w:val="00282691"/>
    <w:rsid w:val="002828D9"/>
    <w:rsid w:val="002847DB"/>
    <w:rsid w:val="0028532D"/>
    <w:rsid w:val="002861F8"/>
    <w:rsid w:val="00287776"/>
    <w:rsid w:val="00287E18"/>
    <w:rsid w:val="00290AFE"/>
    <w:rsid w:val="00290C95"/>
    <w:rsid w:val="002914B6"/>
    <w:rsid w:val="00291D9A"/>
    <w:rsid w:val="0029237D"/>
    <w:rsid w:val="00293FA6"/>
    <w:rsid w:val="00294D77"/>
    <w:rsid w:val="00295E3B"/>
    <w:rsid w:val="0029638D"/>
    <w:rsid w:val="002A1A64"/>
    <w:rsid w:val="002A27C9"/>
    <w:rsid w:val="002A4067"/>
    <w:rsid w:val="002A4D9E"/>
    <w:rsid w:val="002A511F"/>
    <w:rsid w:val="002A5554"/>
    <w:rsid w:val="002A6185"/>
    <w:rsid w:val="002A6B3E"/>
    <w:rsid w:val="002A72CD"/>
    <w:rsid w:val="002A742A"/>
    <w:rsid w:val="002B1484"/>
    <w:rsid w:val="002B15D0"/>
    <w:rsid w:val="002B22B8"/>
    <w:rsid w:val="002B46A2"/>
    <w:rsid w:val="002B5060"/>
    <w:rsid w:val="002B57D8"/>
    <w:rsid w:val="002B60D5"/>
    <w:rsid w:val="002B60F1"/>
    <w:rsid w:val="002B773E"/>
    <w:rsid w:val="002C01B1"/>
    <w:rsid w:val="002C0309"/>
    <w:rsid w:val="002C09B3"/>
    <w:rsid w:val="002C0FC0"/>
    <w:rsid w:val="002C2284"/>
    <w:rsid w:val="002C29A3"/>
    <w:rsid w:val="002C42C4"/>
    <w:rsid w:val="002C4CBF"/>
    <w:rsid w:val="002C6677"/>
    <w:rsid w:val="002C7AFE"/>
    <w:rsid w:val="002D0BFC"/>
    <w:rsid w:val="002D1496"/>
    <w:rsid w:val="002D1B78"/>
    <w:rsid w:val="002D1C80"/>
    <w:rsid w:val="002D1CE8"/>
    <w:rsid w:val="002D1CF1"/>
    <w:rsid w:val="002D2B1F"/>
    <w:rsid w:val="002D2DE6"/>
    <w:rsid w:val="002D3E02"/>
    <w:rsid w:val="002D4BAB"/>
    <w:rsid w:val="002D665F"/>
    <w:rsid w:val="002D73E7"/>
    <w:rsid w:val="002E0570"/>
    <w:rsid w:val="002E06BB"/>
    <w:rsid w:val="002E2BE5"/>
    <w:rsid w:val="002E373C"/>
    <w:rsid w:val="002E37E7"/>
    <w:rsid w:val="002E4384"/>
    <w:rsid w:val="002E4AA6"/>
    <w:rsid w:val="002E60CA"/>
    <w:rsid w:val="002E7D9C"/>
    <w:rsid w:val="002F09BE"/>
    <w:rsid w:val="002F14F2"/>
    <w:rsid w:val="002F1645"/>
    <w:rsid w:val="002F1E2D"/>
    <w:rsid w:val="002F23EA"/>
    <w:rsid w:val="002F2616"/>
    <w:rsid w:val="002F31AE"/>
    <w:rsid w:val="002F34EF"/>
    <w:rsid w:val="002F49EF"/>
    <w:rsid w:val="002F4B74"/>
    <w:rsid w:val="002F4E15"/>
    <w:rsid w:val="002F5D90"/>
    <w:rsid w:val="002F63DE"/>
    <w:rsid w:val="002F659E"/>
    <w:rsid w:val="002F6949"/>
    <w:rsid w:val="003008F2"/>
    <w:rsid w:val="00300BDB"/>
    <w:rsid w:val="00300CD1"/>
    <w:rsid w:val="00301E44"/>
    <w:rsid w:val="00303244"/>
    <w:rsid w:val="00304ECB"/>
    <w:rsid w:val="00306C88"/>
    <w:rsid w:val="00306DB0"/>
    <w:rsid w:val="00306DE6"/>
    <w:rsid w:val="00306F26"/>
    <w:rsid w:val="00307DED"/>
    <w:rsid w:val="003102B3"/>
    <w:rsid w:val="00310496"/>
    <w:rsid w:val="003112B6"/>
    <w:rsid w:val="00311642"/>
    <w:rsid w:val="00312AD6"/>
    <w:rsid w:val="00312E42"/>
    <w:rsid w:val="00313700"/>
    <w:rsid w:val="00314926"/>
    <w:rsid w:val="003152C7"/>
    <w:rsid w:val="00317208"/>
    <w:rsid w:val="00320DA1"/>
    <w:rsid w:val="0032372D"/>
    <w:rsid w:val="00323DF2"/>
    <w:rsid w:val="00325648"/>
    <w:rsid w:val="00325CC7"/>
    <w:rsid w:val="00327C1B"/>
    <w:rsid w:val="00327CB9"/>
    <w:rsid w:val="00327CFF"/>
    <w:rsid w:val="00330B6D"/>
    <w:rsid w:val="0033225F"/>
    <w:rsid w:val="00334723"/>
    <w:rsid w:val="0033549D"/>
    <w:rsid w:val="00335677"/>
    <w:rsid w:val="0033631D"/>
    <w:rsid w:val="00336C89"/>
    <w:rsid w:val="00337BBD"/>
    <w:rsid w:val="0034091B"/>
    <w:rsid w:val="00341B47"/>
    <w:rsid w:val="00345AA0"/>
    <w:rsid w:val="00346D65"/>
    <w:rsid w:val="00350791"/>
    <w:rsid w:val="00350B10"/>
    <w:rsid w:val="00351D4B"/>
    <w:rsid w:val="00351F64"/>
    <w:rsid w:val="0035212B"/>
    <w:rsid w:val="0035235B"/>
    <w:rsid w:val="00352C1A"/>
    <w:rsid w:val="00352CC2"/>
    <w:rsid w:val="003534F6"/>
    <w:rsid w:val="00354816"/>
    <w:rsid w:val="0035550E"/>
    <w:rsid w:val="00355AE5"/>
    <w:rsid w:val="003562EA"/>
    <w:rsid w:val="0035661D"/>
    <w:rsid w:val="003566A7"/>
    <w:rsid w:val="003568A6"/>
    <w:rsid w:val="00357103"/>
    <w:rsid w:val="0035719B"/>
    <w:rsid w:val="0035740A"/>
    <w:rsid w:val="0036003A"/>
    <w:rsid w:val="003600A6"/>
    <w:rsid w:val="003600DB"/>
    <w:rsid w:val="003605B7"/>
    <w:rsid w:val="00361B31"/>
    <w:rsid w:val="00361F4A"/>
    <w:rsid w:val="00362832"/>
    <w:rsid w:val="003655E2"/>
    <w:rsid w:val="003725C0"/>
    <w:rsid w:val="00375366"/>
    <w:rsid w:val="00375FA5"/>
    <w:rsid w:val="00376108"/>
    <w:rsid w:val="003778D8"/>
    <w:rsid w:val="00377F3D"/>
    <w:rsid w:val="003808C6"/>
    <w:rsid w:val="00382750"/>
    <w:rsid w:val="00382ADF"/>
    <w:rsid w:val="00387C61"/>
    <w:rsid w:val="00387DDC"/>
    <w:rsid w:val="00390CC4"/>
    <w:rsid w:val="00390F6E"/>
    <w:rsid w:val="0039178C"/>
    <w:rsid w:val="00391BAF"/>
    <w:rsid w:val="00396E6A"/>
    <w:rsid w:val="003971F7"/>
    <w:rsid w:val="00397380"/>
    <w:rsid w:val="003977E3"/>
    <w:rsid w:val="003A1341"/>
    <w:rsid w:val="003A141A"/>
    <w:rsid w:val="003A4FAA"/>
    <w:rsid w:val="003A5904"/>
    <w:rsid w:val="003A6649"/>
    <w:rsid w:val="003A69E6"/>
    <w:rsid w:val="003B06C9"/>
    <w:rsid w:val="003B1BEB"/>
    <w:rsid w:val="003B294C"/>
    <w:rsid w:val="003B2DB7"/>
    <w:rsid w:val="003B2F08"/>
    <w:rsid w:val="003B58AC"/>
    <w:rsid w:val="003B5A1D"/>
    <w:rsid w:val="003B5EBF"/>
    <w:rsid w:val="003B6BE1"/>
    <w:rsid w:val="003B6DCF"/>
    <w:rsid w:val="003B7311"/>
    <w:rsid w:val="003B794E"/>
    <w:rsid w:val="003B7FE1"/>
    <w:rsid w:val="003C13DA"/>
    <w:rsid w:val="003C1690"/>
    <w:rsid w:val="003C1B66"/>
    <w:rsid w:val="003C31F4"/>
    <w:rsid w:val="003C3A2C"/>
    <w:rsid w:val="003C4EB0"/>
    <w:rsid w:val="003C5F16"/>
    <w:rsid w:val="003D0BBE"/>
    <w:rsid w:val="003D2D99"/>
    <w:rsid w:val="003D33AC"/>
    <w:rsid w:val="003D4B88"/>
    <w:rsid w:val="003D6C12"/>
    <w:rsid w:val="003D7127"/>
    <w:rsid w:val="003E0919"/>
    <w:rsid w:val="003E0BE4"/>
    <w:rsid w:val="003E4202"/>
    <w:rsid w:val="003E428D"/>
    <w:rsid w:val="003E4C6D"/>
    <w:rsid w:val="003E5CF9"/>
    <w:rsid w:val="003E6448"/>
    <w:rsid w:val="003E76D9"/>
    <w:rsid w:val="003E7DB8"/>
    <w:rsid w:val="003F091D"/>
    <w:rsid w:val="003F0F66"/>
    <w:rsid w:val="003F1DC8"/>
    <w:rsid w:val="003F23BB"/>
    <w:rsid w:val="003F2828"/>
    <w:rsid w:val="003F4108"/>
    <w:rsid w:val="003F4B88"/>
    <w:rsid w:val="003F5867"/>
    <w:rsid w:val="003F5F3A"/>
    <w:rsid w:val="003F717B"/>
    <w:rsid w:val="003F7B46"/>
    <w:rsid w:val="00400330"/>
    <w:rsid w:val="0040078D"/>
    <w:rsid w:val="004008F3"/>
    <w:rsid w:val="00402F5E"/>
    <w:rsid w:val="00403314"/>
    <w:rsid w:val="004047C0"/>
    <w:rsid w:val="00407B26"/>
    <w:rsid w:val="00410714"/>
    <w:rsid w:val="00410EE4"/>
    <w:rsid w:val="00411208"/>
    <w:rsid w:val="00411FF2"/>
    <w:rsid w:val="00412BB3"/>
    <w:rsid w:val="00412CE9"/>
    <w:rsid w:val="004145F1"/>
    <w:rsid w:val="00414921"/>
    <w:rsid w:val="00415B13"/>
    <w:rsid w:val="00415D55"/>
    <w:rsid w:val="0041799E"/>
    <w:rsid w:val="0042041A"/>
    <w:rsid w:val="004206EE"/>
    <w:rsid w:val="004210A5"/>
    <w:rsid w:val="00423415"/>
    <w:rsid w:val="00423920"/>
    <w:rsid w:val="0042678B"/>
    <w:rsid w:val="00427937"/>
    <w:rsid w:val="00432256"/>
    <w:rsid w:val="00432AAA"/>
    <w:rsid w:val="0043377E"/>
    <w:rsid w:val="0043487E"/>
    <w:rsid w:val="0043535D"/>
    <w:rsid w:val="004362FE"/>
    <w:rsid w:val="00436403"/>
    <w:rsid w:val="004369FE"/>
    <w:rsid w:val="00436DAF"/>
    <w:rsid w:val="004371C6"/>
    <w:rsid w:val="00437237"/>
    <w:rsid w:val="00437970"/>
    <w:rsid w:val="004435D2"/>
    <w:rsid w:val="004442A1"/>
    <w:rsid w:val="004451C8"/>
    <w:rsid w:val="00446F72"/>
    <w:rsid w:val="0045014C"/>
    <w:rsid w:val="004503C2"/>
    <w:rsid w:val="004518FB"/>
    <w:rsid w:val="00451D40"/>
    <w:rsid w:val="00451D8D"/>
    <w:rsid w:val="00452D4A"/>
    <w:rsid w:val="00453960"/>
    <w:rsid w:val="004541D7"/>
    <w:rsid w:val="00455477"/>
    <w:rsid w:val="00457F62"/>
    <w:rsid w:val="00460158"/>
    <w:rsid w:val="004607A8"/>
    <w:rsid w:val="00460D17"/>
    <w:rsid w:val="00461CCF"/>
    <w:rsid w:val="004623B6"/>
    <w:rsid w:val="004637B1"/>
    <w:rsid w:val="00464586"/>
    <w:rsid w:val="00464DD8"/>
    <w:rsid w:val="004650D6"/>
    <w:rsid w:val="00467B7E"/>
    <w:rsid w:val="00467C83"/>
    <w:rsid w:val="00472870"/>
    <w:rsid w:val="004729A9"/>
    <w:rsid w:val="0047447B"/>
    <w:rsid w:val="00474924"/>
    <w:rsid w:val="00475206"/>
    <w:rsid w:val="00475AAD"/>
    <w:rsid w:val="00475FCE"/>
    <w:rsid w:val="004762AE"/>
    <w:rsid w:val="00476BE5"/>
    <w:rsid w:val="00477185"/>
    <w:rsid w:val="004773C9"/>
    <w:rsid w:val="004776E2"/>
    <w:rsid w:val="00480F76"/>
    <w:rsid w:val="004821B4"/>
    <w:rsid w:val="00483AE8"/>
    <w:rsid w:val="00483AF6"/>
    <w:rsid w:val="00485A2B"/>
    <w:rsid w:val="00485C3F"/>
    <w:rsid w:val="00490AA8"/>
    <w:rsid w:val="00492AE6"/>
    <w:rsid w:val="00493EF4"/>
    <w:rsid w:val="00493FF0"/>
    <w:rsid w:val="00494156"/>
    <w:rsid w:val="004942D1"/>
    <w:rsid w:val="00494A2D"/>
    <w:rsid w:val="00494C4E"/>
    <w:rsid w:val="00495D6A"/>
    <w:rsid w:val="004961EE"/>
    <w:rsid w:val="004962EA"/>
    <w:rsid w:val="004968F9"/>
    <w:rsid w:val="004A0F97"/>
    <w:rsid w:val="004A1F0D"/>
    <w:rsid w:val="004A2196"/>
    <w:rsid w:val="004A23B1"/>
    <w:rsid w:val="004A2FA2"/>
    <w:rsid w:val="004A3B3D"/>
    <w:rsid w:val="004A5A54"/>
    <w:rsid w:val="004B00D0"/>
    <w:rsid w:val="004B12F4"/>
    <w:rsid w:val="004B1571"/>
    <w:rsid w:val="004B20FB"/>
    <w:rsid w:val="004B2E75"/>
    <w:rsid w:val="004B2EAE"/>
    <w:rsid w:val="004B3006"/>
    <w:rsid w:val="004B42BE"/>
    <w:rsid w:val="004B5012"/>
    <w:rsid w:val="004B5D1A"/>
    <w:rsid w:val="004B6B16"/>
    <w:rsid w:val="004B6D08"/>
    <w:rsid w:val="004B6ED2"/>
    <w:rsid w:val="004B745A"/>
    <w:rsid w:val="004B7D6E"/>
    <w:rsid w:val="004C05D5"/>
    <w:rsid w:val="004C150E"/>
    <w:rsid w:val="004C189F"/>
    <w:rsid w:val="004C2F51"/>
    <w:rsid w:val="004C4062"/>
    <w:rsid w:val="004C4975"/>
    <w:rsid w:val="004C4AA1"/>
    <w:rsid w:val="004C67CD"/>
    <w:rsid w:val="004C72DE"/>
    <w:rsid w:val="004C7DE6"/>
    <w:rsid w:val="004D135D"/>
    <w:rsid w:val="004D193D"/>
    <w:rsid w:val="004D1AB8"/>
    <w:rsid w:val="004D1F20"/>
    <w:rsid w:val="004D2081"/>
    <w:rsid w:val="004D3002"/>
    <w:rsid w:val="004D34C3"/>
    <w:rsid w:val="004D3AC3"/>
    <w:rsid w:val="004D4980"/>
    <w:rsid w:val="004D49E7"/>
    <w:rsid w:val="004D4C64"/>
    <w:rsid w:val="004D565E"/>
    <w:rsid w:val="004E3D81"/>
    <w:rsid w:val="004E4504"/>
    <w:rsid w:val="004E4C82"/>
    <w:rsid w:val="004E4E4B"/>
    <w:rsid w:val="004E70D4"/>
    <w:rsid w:val="004E7535"/>
    <w:rsid w:val="004F130E"/>
    <w:rsid w:val="004F169C"/>
    <w:rsid w:val="004F211F"/>
    <w:rsid w:val="004F2478"/>
    <w:rsid w:val="004F3204"/>
    <w:rsid w:val="004F33C1"/>
    <w:rsid w:val="004F5CB9"/>
    <w:rsid w:val="004F5DBA"/>
    <w:rsid w:val="004F7824"/>
    <w:rsid w:val="005003A2"/>
    <w:rsid w:val="005005AC"/>
    <w:rsid w:val="005006FA"/>
    <w:rsid w:val="00500D32"/>
    <w:rsid w:val="0050351D"/>
    <w:rsid w:val="00503BBB"/>
    <w:rsid w:val="00503F93"/>
    <w:rsid w:val="005041C9"/>
    <w:rsid w:val="005047EE"/>
    <w:rsid w:val="005061AF"/>
    <w:rsid w:val="005061BA"/>
    <w:rsid w:val="00506ED4"/>
    <w:rsid w:val="00506FEC"/>
    <w:rsid w:val="0050798B"/>
    <w:rsid w:val="00510D13"/>
    <w:rsid w:val="00510E91"/>
    <w:rsid w:val="00512423"/>
    <w:rsid w:val="00512FAB"/>
    <w:rsid w:val="00513D3A"/>
    <w:rsid w:val="00514337"/>
    <w:rsid w:val="005146BC"/>
    <w:rsid w:val="0051537A"/>
    <w:rsid w:val="0051627B"/>
    <w:rsid w:val="00516634"/>
    <w:rsid w:val="0052050A"/>
    <w:rsid w:val="00520964"/>
    <w:rsid w:val="00522730"/>
    <w:rsid w:val="00523E56"/>
    <w:rsid w:val="00527116"/>
    <w:rsid w:val="00527144"/>
    <w:rsid w:val="005313DF"/>
    <w:rsid w:val="0053312F"/>
    <w:rsid w:val="005338BC"/>
    <w:rsid w:val="00533C0C"/>
    <w:rsid w:val="00534E6D"/>
    <w:rsid w:val="005360A0"/>
    <w:rsid w:val="005365C0"/>
    <w:rsid w:val="0053741C"/>
    <w:rsid w:val="00540BD8"/>
    <w:rsid w:val="00541AD9"/>
    <w:rsid w:val="00541B63"/>
    <w:rsid w:val="00541DDF"/>
    <w:rsid w:val="005433DD"/>
    <w:rsid w:val="005437C2"/>
    <w:rsid w:val="005440C9"/>
    <w:rsid w:val="00544B76"/>
    <w:rsid w:val="00544BBD"/>
    <w:rsid w:val="005456DA"/>
    <w:rsid w:val="005458AC"/>
    <w:rsid w:val="00545986"/>
    <w:rsid w:val="00545FF4"/>
    <w:rsid w:val="00546212"/>
    <w:rsid w:val="00547A9E"/>
    <w:rsid w:val="00551356"/>
    <w:rsid w:val="00552EDD"/>
    <w:rsid w:val="00553483"/>
    <w:rsid w:val="00560070"/>
    <w:rsid w:val="0056091B"/>
    <w:rsid w:val="005615F6"/>
    <w:rsid w:val="00561C07"/>
    <w:rsid w:val="00562080"/>
    <w:rsid w:val="00564E90"/>
    <w:rsid w:val="00566883"/>
    <w:rsid w:val="00567A93"/>
    <w:rsid w:val="00572D87"/>
    <w:rsid w:val="0057331D"/>
    <w:rsid w:val="00573CA5"/>
    <w:rsid w:val="005778DF"/>
    <w:rsid w:val="00577BEC"/>
    <w:rsid w:val="00580DC2"/>
    <w:rsid w:val="00582001"/>
    <w:rsid w:val="0058249F"/>
    <w:rsid w:val="00583CB5"/>
    <w:rsid w:val="0058741F"/>
    <w:rsid w:val="005879E3"/>
    <w:rsid w:val="00587D57"/>
    <w:rsid w:val="00590F5E"/>
    <w:rsid w:val="00591704"/>
    <w:rsid w:val="00592987"/>
    <w:rsid w:val="00595513"/>
    <w:rsid w:val="00595C99"/>
    <w:rsid w:val="005965B1"/>
    <w:rsid w:val="00597804"/>
    <w:rsid w:val="005A0483"/>
    <w:rsid w:val="005A2B01"/>
    <w:rsid w:val="005A2C10"/>
    <w:rsid w:val="005A3B5D"/>
    <w:rsid w:val="005A40C3"/>
    <w:rsid w:val="005A4B86"/>
    <w:rsid w:val="005A6219"/>
    <w:rsid w:val="005A62BA"/>
    <w:rsid w:val="005A6765"/>
    <w:rsid w:val="005A6BC7"/>
    <w:rsid w:val="005A765C"/>
    <w:rsid w:val="005A78DF"/>
    <w:rsid w:val="005B1585"/>
    <w:rsid w:val="005B2134"/>
    <w:rsid w:val="005B2C2C"/>
    <w:rsid w:val="005B3E57"/>
    <w:rsid w:val="005B414E"/>
    <w:rsid w:val="005B5456"/>
    <w:rsid w:val="005B5713"/>
    <w:rsid w:val="005C11B0"/>
    <w:rsid w:val="005C1916"/>
    <w:rsid w:val="005C1CFE"/>
    <w:rsid w:val="005C3CFB"/>
    <w:rsid w:val="005C4BE9"/>
    <w:rsid w:val="005C6EEF"/>
    <w:rsid w:val="005D0B4C"/>
    <w:rsid w:val="005D24FE"/>
    <w:rsid w:val="005D3025"/>
    <w:rsid w:val="005D336C"/>
    <w:rsid w:val="005D3659"/>
    <w:rsid w:val="005D3D89"/>
    <w:rsid w:val="005D4467"/>
    <w:rsid w:val="005D4DAF"/>
    <w:rsid w:val="005D4FDF"/>
    <w:rsid w:val="005D5BE4"/>
    <w:rsid w:val="005D5C28"/>
    <w:rsid w:val="005D5FDB"/>
    <w:rsid w:val="005D62C7"/>
    <w:rsid w:val="005D66BA"/>
    <w:rsid w:val="005E1505"/>
    <w:rsid w:val="005E2072"/>
    <w:rsid w:val="005E225C"/>
    <w:rsid w:val="005E231C"/>
    <w:rsid w:val="005E2346"/>
    <w:rsid w:val="005E2F2D"/>
    <w:rsid w:val="005E2F3D"/>
    <w:rsid w:val="005E3609"/>
    <w:rsid w:val="005E510F"/>
    <w:rsid w:val="005E623F"/>
    <w:rsid w:val="005E6D31"/>
    <w:rsid w:val="005E6D7B"/>
    <w:rsid w:val="005E7C44"/>
    <w:rsid w:val="005F17B7"/>
    <w:rsid w:val="005F2B21"/>
    <w:rsid w:val="005F541E"/>
    <w:rsid w:val="005F7927"/>
    <w:rsid w:val="005F7E83"/>
    <w:rsid w:val="006001CF"/>
    <w:rsid w:val="006003D2"/>
    <w:rsid w:val="00600DE7"/>
    <w:rsid w:val="00602856"/>
    <w:rsid w:val="00602CC9"/>
    <w:rsid w:val="00603863"/>
    <w:rsid w:val="0060451F"/>
    <w:rsid w:val="00605507"/>
    <w:rsid w:val="00607278"/>
    <w:rsid w:val="006078B3"/>
    <w:rsid w:val="00607CDF"/>
    <w:rsid w:val="006120B3"/>
    <w:rsid w:val="006120E0"/>
    <w:rsid w:val="006136DC"/>
    <w:rsid w:val="00613A69"/>
    <w:rsid w:val="00616770"/>
    <w:rsid w:val="006174CC"/>
    <w:rsid w:val="0061780F"/>
    <w:rsid w:val="006179D2"/>
    <w:rsid w:val="00617C1E"/>
    <w:rsid w:val="0062081C"/>
    <w:rsid w:val="00621031"/>
    <w:rsid w:val="0062139D"/>
    <w:rsid w:val="0062453A"/>
    <w:rsid w:val="006269CF"/>
    <w:rsid w:val="00630359"/>
    <w:rsid w:val="006303DF"/>
    <w:rsid w:val="00631420"/>
    <w:rsid w:val="00632088"/>
    <w:rsid w:val="006324C9"/>
    <w:rsid w:val="00633052"/>
    <w:rsid w:val="006334D4"/>
    <w:rsid w:val="00634095"/>
    <w:rsid w:val="006354C0"/>
    <w:rsid w:val="00635E79"/>
    <w:rsid w:val="00640326"/>
    <w:rsid w:val="0064072E"/>
    <w:rsid w:val="0064190B"/>
    <w:rsid w:val="0064232D"/>
    <w:rsid w:val="0064296B"/>
    <w:rsid w:val="00643AB9"/>
    <w:rsid w:val="0064426F"/>
    <w:rsid w:val="00645349"/>
    <w:rsid w:val="0064579B"/>
    <w:rsid w:val="00652072"/>
    <w:rsid w:val="00653122"/>
    <w:rsid w:val="00653401"/>
    <w:rsid w:val="0065436E"/>
    <w:rsid w:val="0065554D"/>
    <w:rsid w:val="006564E7"/>
    <w:rsid w:val="00656BFD"/>
    <w:rsid w:val="00657E06"/>
    <w:rsid w:val="00661000"/>
    <w:rsid w:val="00661164"/>
    <w:rsid w:val="00661879"/>
    <w:rsid w:val="00661D48"/>
    <w:rsid w:val="00662DD3"/>
    <w:rsid w:val="006635CF"/>
    <w:rsid w:val="00663865"/>
    <w:rsid w:val="00663E14"/>
    <w:rsid w:val="00663E82"/>
    <w:rsid w:val="006647A8"/>
    <w:rsid w:val="00664E14"/>
    <w:rsid w:val="00664F47"/>
    <w:rsid w:val="006656C7"/>
    <w:rsid w:val="00665EE4"/>
    <w:rsid w:val="006673FF"/>
    <w:rsid w:val="00667D92"/>
    <w:rsid w:val="0067021D"/>
    <w:rsid w:val="006712BD"/>
    <w:rsid w:val="006714A5"/>
    <w:rsid w:val="006714BC"/>
    <w:rsid w:val="0067214F"/>
    <w:rsid w:val="00672B86"/>
    <w:rsid w:val="006736F3"/>
    <w:rsid w:val="00673F86"/>
    <w:rsid w:val="0067445B"/>
    <w:rsid w:val="00675498"/>
    <w:rsid w:val="00675A94"/>
    <w:rsid w:val="00681FCA"/>
    <w:rsid w:val="00682781"/>
    <w:rsid w:val="00684BD8"/>
    <w:rsid w:val="00686B02"/>
    <w:rsid w:val="006871B5"/>
    <w:rsid w:val="00691136"/>
    <w:rsid w:val="00692A42"/>
    <w:rsid w:val="00694ED7"/>
    <w:rsid w:val="00694EE4"/>
    <w:rsid w:val="00696679"/>
    <w:rsid w:val="0069764C"/>
    <w:rsid w:val="006978FB"/>
    <w:rsid w:val="006A022E"/>
    <w:rsid w:val="006A211E"/>
    <w:rsid w:val="006A250D"/>
    <w:rsid w:val="006A41AA"/>
    <w:rsid w:val="006A44DB"/>
    <w:rsid w:val="006A4EE2"/>
    <w:rsid w:val="006A5B1F"/>
    <w:rsid w:val="006A6582"/>
    <w:rsid w:val="006A693A"/>
    <w:rsid w:val="006A6EC2"/>
    <w:rsid w:val="006A74CF"/>
    <w:rsid w:val="006B161C"/>
    <w:rsid w:val="006B25FE"/>
    <w:rsid w:val="006B3CA6"/>
    <w:rsid w:val="006B3D84"/>
    <w:rsid w:val="006B5C2D"/>
    <w:rsid w:val="006B79FE"/>
    <w:rsid w:val="006C1183"/>
    <w:rsid w:val="006C1EA7"/>
    <w:rsid w:val="006C2639"/>
    <w:rsid w:val="006C29DF"/>
    <w:rsid w:val="006C2A82"/>
    <w:rsid w:val="006C2A9B"/>
    <w:rsid w:val="006C58D4"/>
    <w:rsid w:val="006C610B"/>
    <w:rsid w:val="006C6ACE"/>
    <w:rsid w:val="006C7292"/>
    <w:rsid w:val="006C7B4A"/>
    <w:rsid w:val="006D0CB3"/>
    <w:rsid w:val="006D119E"/>
    <w:rsid w:val="006D2A4B"/>
    <w:rsid w:val="006D2D55"/>
    <w:rsid w:val="006D2E7A"/>
    <w:rsid w:val="006D3859"/>
    <w:rsid w:val="006D3B9F"/>
    <w:rsid w:val="006D3CDC"/>
    <w:rsid w:val="006D448B"/>
    <w:rsid w:val="006D4779"/>
    <w:rsid w:val="006D4D2A"/>
    <w:rsid w:val="006D5397"/>
    <w:rsid w:val="006D5A8E"/>
    <w:rsid w:val="006D7B5F"/>
    <w:rsid w:val="006D7B71"/>
    <w:rsid w:val="006E07B5"/>
    <w:rsid w:val="006E361E"/>
    <w:rsid w:val="006E3BE7"/>
    <w:rsid w:val="006E4D36"/>
    <w:rsid w:val="006E55A0"/>
    <w:rsid w:val="006E634E"/>
    <w:rsid w:val="006E67FF"/>
    <w:rsid w:val="006E68C7"/>
    <w:rsid w:val="006E7038"/>
    <w:rsid w:val="006E7FB5"/>
    <w:rsid w:val="006F26E7"/>
    <w:rsid w:val="006F407E"/>
    <w:rsid w:val="006F4FBB"/>
    <w:rsid w:val="006F6F67"/>
    <w:rsid w:val="006F6F8E"/>
    <w:rsid w:val="00700ACC"/>
    <w:rsid w:val="00701354"/>
    <w:rsid w:val="007013AC"/>
    <w:rsid w:val="00701454"/>
    <w:rsid w:val="00703C8D"/>
    <w:rsid w:val="007048D9"/>
    <w:rsid w:val="0070501D"/>
    <w:rsid w:val="0070525D"/>
    <w:rsid w:val="007105A1"/>
    <w:rsid w:val="00710A62"/>
    <w:rsid w:val="007113D6"/>
    <w:rsid w:val="0071173B"/>
    <w:rsid w:val="00711E76"/>
    <w:rsid w:val="007120E1"/>
    <w:rsid w:val="007123D2"/>
    <w:rsid w:val="007135BE"/>
    <w:rsid w:val="00713712"/>
    <w:rsid w:val="00713783"/>
    <w:rsid w:val="007163B2"/>
    <w:rsid w:val="00716D52"/>
    <w:rsid w:val="0071791D"/>
    <w:rsid w:val="007209F6"/>
    <w:rsid w:val="0072112D"/>
    <w:rsid w:val="00721D82"/>
    <w:rsid w:val="00721DB3"/>
    <w:rsid w:val="00722340"/>
    <w:rsid w:val="007228D2"/>
    <w:rsid w:val="00722CEF"/>
    <w:rsid w:val="007233DB"/>
    <w:rsid w:val="00725177"/>
    <w:rsid w:val="00725F71"/>
    <w:rsid w:val="00726E2F"/>
    <w:rsid w:val="00726E8E"/>
    <w:rsid w:val="00727251"/>
    <w:rsid w:val="00727A18"/>
    <w:rsid w:val="00731D2F"/>
    <w:rsid w:val="007331A5"/>
    <w:rsid w:val="007342D8"/>
    <w:rsid w:val="00734516"/>
    <w:rsid w:val="007346AD"/>
    <w:rsid w:val="00734EBC"/>
    <w:rsid w:val="007376D1"/>
    <w:rsid w:val="00737FCC"/>
    <w:rsid w:val="00741C9A"/>
    <w:rsid w:val="00743AEC"/>
    <w:rsid w:val="00745D2B"/>
    <w:rsid w:val="007460FA"/>
    <w:rsid w:val="0074787B"/>
    <w:rsid w:val="007500C5"/>
    <w:rsid w:val="00751DE1"/>
    <w:rsid w:val="00754067"/>
    <w:rsid w:val="007548A3"/>
    <w:rsid w:val="00755C69"/>
    <w:rsid w:val="00755F44"/>
    <w:rsid w:val="00756235"/>
    <w:rsid w:val="00757DB1"/>
    <w:rsid w:val="00757F8B"/>
    <w:rsid w:val="007603E2"/>
    <w:rsid w:val="0076061D"/>
    <w:rsid w:val="00760C97"/>
    <w:rsid w:val="0076179C"/>
    <w:rsid w:val="00762A0E"/>
    <w:rsid w:val="00762D45"/>
    <w:rsid w:val="00763A98"/>
    <w:rsid w:val="00767DF6"/>
    <w:rsid w:val="00770DEA"/>
    <w:rsid w:val="00771F45"/>
    <w:rsid w:val="00772DE9"/>
    <w:rsid w:val="00775063"/>
    <w:rsid w:val="00775267"/>
    <w:rsid w:val="00777705"/>
    <w:rsid w:val="00780505"/>
    <w:rsid w:val="00780C34"/>
    <w:rsid w:val="00781202"/>
    <w:rsid w:val="00781772"/>
    <w:rsid w:val="00781BC9"/>
    <w:rsid w:val="00782A13"/>
    <w:rsid w:val="00783FBF"/>
    <w:rsid w:val="00783FC5"/>
    <w:rsid w:val="007844DE"/>
    <w:rsid w:val="00784A57"/>
    <w:rsid w:val="00785ECB"/>
    <w:rsid w:val="007863F2"/>
    <w:rsid w:val="007864E3"/>
    <w:rsid w:val="00787BA0"/>
    <w:rsid w:val="00787D1A"/>
    <w:rsid w:val="00790876"/>
    <w:rsid w:val="0079098C"/>
    <w:rsid w:val="007910BB"/>
    <w:rsid w:val="00791526"/>
    <w:rsid w:val="007924BE"/>
    <w:rsid w:val="007940F9"/>
    <w:rsid w:val="00794171"/>
    <w:rsid w:val="00794EAE"/>
    <w:rsid w:val="00796049"/>
    <w:rsid w:val="00796594"/>
    <w:rsid w:val="007965DD"/>
    <w:rsid w:val="00797724"/>
    <w:rsid w:val="007A1B17"/>
    <w:rsid w:val="007A3B17"/>
    <w:rsid w:val="007A416F"/>
    <w:rsid w:val="007A4886"/>
    <w:rsid w:val="007A4FF2"/>
    <w:rsid w:val="007A50B6"/>
    <w:rsid w:val="007A652E"/>
    <w:rsid w:val="007A69EF"/>
    <w:rsid w:val="007A77D5"/>
    <w:rsid w:val="007A7CE6"/>
    <w:rsid w:val="007B0438"/>
    <w:rsid w:val="007B04D4"/>
    <w:rsid w:val="007B2192"/>
    <w:rsid w:val="007B2AAE"/>
    <w:rsid w:val="007B3446"/>
    <w:rsid w:val="007B35E1"/>
    <w:rsid w:val="007B4C53"/>
    <w:rsid w:val="007B6659"/>
    <w:rsid w:val="007B6A72"/>
    <w:rsid w:val="007B775B"/>
    <w:rsid w:val="007C02EB"/>
    <w:rsid w:val="007C1B99"/>
    <w:rsid w:val="007C1F73"/>
    <w:rsid w:val="007C2759"/>
    <w:rsid w:val="007C2837"/>
    <w:rsid w:val="007C458A"/>
    <w:rsid w:val="007C4968"/>
    <w:rsid w:val="007C4EB3"/>
    <w:rsid w:val="007C4F17"/>
    <w:rsid w:val="007C5915"/>
    <w:rsid w:val="007D0C70"/>
    <w:rsid w:val="007D1E15"/>
    <w:rsid w:val="007D2106"/>
    <w:rsid w:val="007D2B1F"/>
    <w:rsid w:val="007D579F"/>
    <w:rsid w:val="007D7206"/>
    <w:rsid w:val="007D7736"/>
    <w:rsid w:val="007D7BBE"/>
    <w:rsid w:val="007E06B5"/>
    <w:rsid w:val="007E143C"/>
    <w:rsid w:val="007E2040"/>
    <w:rsid w:val="007E2627"/>
    <w:rsid w:val="007E3B9C"/>
    <w:rsid w:val="007E41AC"/>
    <w:rsid w:val="007E4A0F"/>
    <w:rsid w:val="007E4E30"/>
    <w:rsid w:val="007E4F4A"/>
    <w:rsid w:val="007F06DD"/>
    <w:rsid w:val="007F1D09"/>
    <w:rsid w:val="007F32EA"/>
    <w:rsid w:val="007F5392"/>
    <w:rsid w:val="007F6021"/>
    <w:rsid w:val="007F64BE"/>
    <w:rsid w:val="007F6DB6"/>
    <w:rsid w:val="007F729E"/>
    <w:rsid w:val="00800172"/>
    <w:rsid w:val="00800B5B"/>
    <w:rsid w:val="00801C70"/>
    <w:rsid w:val="008020CF"/>
    <w:rsid w:val="00802A93"/>
    <w:rsid w:val="00805239"/>
    <w:rsid w:val="0080604A"/>
    <w:rsid w:val="008064FE"/>
    <w:rsid w:val="00811F6E"/>
    <w:rsid w:val="00812D22"/>
    <w:rsid w:val="00814021"/>
    <w:rsid w:val="00814031"/>
    <w:rsid w:val="0081414A"/>
    <w:rsid w:val="00815439"/>
    <w:rsid w:val="008157B6"/>
    <w:rsid w:val="00815F45"/>
    <w:rsid w:val="008164C3"/>
    <w:rsid w:val="008206E9"/>
    <w:rsid w:val="0082136B"/>
    <w:rsid w:val="00821D8D"/>
    <w:rsid w:val="008242FD"/>
    <w:rsid w:val="00824BD8"/>
    <w:rsid w:val="00827DE4"/>
    <w:rsid w:val="00830EC0"/>
    <w:rsid w:val="00831011"/>
    <w:rsid w:val="00831821"/>
    <w:rsid w:val="00832F67"/>
    <w:rsid w:val="008346E2"/>
    <w:rsid w:val="00834DBF"/>
    <w:rsid w:val="008353D3"/>
    <w:rsid w:val="00836E24"/>
    <w:rsid w:val="008379F7"/>
    <w:rsid w:val="00840199"/>
    <w:rsid w:val="00841B5D"/>
    <w:rsid w:val="0084430A"/>
    <w:rsid w:val="00844B04"/>
    <w:rsid w:val="008452B3"/>
    <w:rsid w:val="008467C8"/>
    <w:rsid w:val="00847295"/>
    <w:rsid w:val="008522C8"/>
    <w:rsid w:val="00853907"/>
    <w:rsid w:val="00854BCF"/>
    <w:rsid w:val="00854E36"/>
    <w:rsid w:val="0085545D"/>
    <w:rsid w:val="00855781"/>
    <w:rsid w:val="00860994"/>
    <w:rsid w:val="00860F20"/>
    <w:rsid w:val="00862578"/>
    <w:rsid w:val="00862839"/>
    <w:rsid w:val="008632E2"/>
    <w:rsid w:val="00863833"/>
    <w:rsid w:val="00863BC7"/>
    <w:rsid w:val="008649C4"/>
    <w:rsid w:val="0086604A"/>
    <w:rsid w:val="0086769E"/>
    <w:rsid w:val="00867F28"/>
    <w:rsid w:val="00870486"/>
    <w:rsid w:val="00874D21"/>
    <w:rsid w:val="00875EF1"/>
    <w:rsid w:val="00877536"/>
    <w:rsid w:val="00880D31"/>
    <w:rsid w:val="0088149B"/>
    <w:rsid w:val="00882B96"/>
    <w:rsid w:val="00884503"/>
    <w:rsid w:val="00884CC1"/>
    <w:rsid w:val="0088730E"/>
    <w:rsid w:val="00891387"/>
    <w:rsid w:val="00892795"/>
    <w:rsid w:val="008937D4"/>
    <w:rsid w:val="00893801"/>
    <w:rsid w:val="00894B98"/>
    <w:rsid w:val="008956F9"/>
    <w:rsid w:val="00896096"/>
    <w:rsid w:val="00896C31"/>
    <w:rsid w:val="008A2275"/>
    <w:rsid w:val="008A288A"/>
    <w:rsid w:val="008A4137"/>
    <w:rsid w:val="008A4288"/>
    <w:rsid w:val="008A4963"/>
    <w:rsid w:val="008A5D09"/>
    <w:rsid w:val="008A6DC8"/>
    <w:rsid w:val="008B02A6"/>
    <w:rsid w:val="008B051A"/>
    <w:rsid w:val="008B437A"/>
    <w:rsid w:val="008B4FC9"/>
    <w:rsid w:val="008B5AB2"/>
    <w:rsid w:val="008B6DCD"/>
    <w:rsid w:val="008B799D"/>
    <w:rsid w:val="008B7A52"/>
    <w:rsid w:val="008C10FB"/>
    <w:rsid w:val="008C174C"/>
    <w:rsid w:val="008C19F1"/>
    <w:rsid w:val="008C1BBD"/>
    <w:rsid w:val="008C23A9"/>
    <w:rsid w:val="008C24EE"/>
    <w:rsid w:val="008C3804"/>
    <w:rsid w:val="008C3857"/>
    <w:rsid w:val="008C3A42"/>
    <w:rsid w:val="008C41AF"/>
    <w:rsid w:val="008C78B6"/>
    <w:rsid w:val="008D017C"/>
    <w:rsid w:val="008D09C4"/>
    <w:rsid w:val="008D1BD1"/>
    <w:rsid w:val="008D360F"/>
    <w:rsid w:val="008D46E1"/>
    <w:rsid w:val="008D5015"/>
    <w:rsid w:val="008D5381"/>
    <w:rsid w:val="008D54AE"/>
    <w:rsid w:val="008D6A62"/>
    <w:rsid w:val="008D7B9E"/>
    <w:rsid w:val="008E0CF8"/>
    <w:rsid w:val="008E1BFF"/>
    <w:rsid w:val="008E21CA"/>
    <w:rsid w:val="008E2CCD"/>
    <w:rsid w:val="008E2E34"/>
    <w:rsid w:val="008E373B"/>
    <w:rsid w:val="008E4620"/>
    <w:rsid w:val="008E4D14"/>
    <w:rsid w:val="008E66C5"/>
    <w:rsid w:val="008E7D17"/>
    <w:rsid w:val="008E7F49"/>
    <w:rsid w:val="008F01D8"/>
    <w:rsid w:val="008F04ED"/>
    <w:rsid w:val="008F11D0"/>
    <w:rsid w:val="008F17D3"/>
    <w:rsid w:val="008F2B51"/>
    <w:rsid w:val="008F388B"/>
    <w:rsid w:val="008F3D23"/>
    <w:rsid w:val="008F451A"/>
    <w:rsid w:val="008F59D5"/>
    <w:rsid w:val="008F5FA4"/>
    <w:rsid w:val="008F6557"/>
    <w:rsid w:val="008F7023"/>
    <w:rsid w:val="008F713B"/>
    <w:rsid w:val="00900321"/>
    <w:rsid w:val="00900D5A"/>
    <w:rsid w:val="009014C6"/>
    <w:rsid w:val="00902CE3"/>
    <w:rsid w:val="009043C8"/>
    <w:rsid w:val="009060EC"/>
    <w:rsid w:val="009074AE"/>
    <w:rsid w:val="009106A3"/>
    <w:rsid w:val="00911C17"/>
    <w:rsid w:val="00912E71"/>
    <w:rsid w:val="0091455F"/>
    <w:rsid w:val="00914B07"/>
    <w:rsid w:val="00914C89"/>
    <w:rsid w:val="0091523B"/>
    <w:rsid w:val="0091527C"/>
    <w:rsid w:val="009152AD"/>
    <w:rsid w:val="00916491"/>
    <w:rsid w:val="009177C8"/>
    <w:rsid w:val="009204C5"/>
    <w:rsid w:val="009205ED"/>
    <w:rsid w:val="00921B6D"/>
    <w:rsid w:val="00922557"/>
    <w:rsid w:val="00923501"/>
    <w:rsid w:val="009245EB"/>
    <w:rsid w:val="00925919"/>
    <w:rsid w:val="009268FF"/>
    <w:rsid w:val="00926D2F"/>
    <w:rsid w:val="00926FFD"/>
    <w:rsid w:val="009278C3"/>
    <w:rsid w:val="0093241F"/>
    <w:rsid w:val="009335B9"/>
    <w:rsid w:val="00933A1B"/>
    <w:rsid w:val="00933A8F"/>
    <w:rsid w:val="009342A0"/>
    <w:rsid w:val="00934DF7"/>
    <w:rsid w:val="00934F68"/>
    <w:rsid w:val="009365AB"/>
    <w:rsid w:val="00936D9E"/>
    <w:rsid w:val="00937264"/>
    <w:rsid w:val="009375C8"/>
    <w:rsid w:val="00937684"/>
    <w:rsid w:val="00941B5A"/>
    <w:rsid w:val="00942420"/>
    <w:rsid w:val="009426A8"/>
    <w:rsid w:val="00944965"/>
    <w:rsid w:val="00946F4F"/>
    <w:rsid w:val="009503B5"/>
    <w:rsid w:val="00950813"/>
    <w:rsid w:val="00950A8A"/>
    <w:rsid w:val="00951597"/>
    <w:rsid w:val="00951A2F"/>
    <w:rsid w:val="00952769"/>
    <w:rsid w:val="00953B41"/>
    <w:rsid w:val="00953FAC"/>
    <w:rsid w:val="0095486A"/>
    <w:rsid w:val="00954EA5"/>
    <w:rsid w:val="00955471"/>
    <w:rsid w:val="00956292"/>
    <w:rsid w:val="0095646B"/>
    <w:rsid w:val="00960D8A"/>
    <w:rsid w:val="00960FB0"/>
    <w:rsid w:val="0096102D"/>
    <w:rsid w:val="00962193"/>
    <w:rsid w:val="00963020"/>
    <w:rsid w:val="009633E2"/>
    <w:rsid w:val="00963443"/>
    <w:rsid w:val="009642E4"/>
    <w:rsid w:val="00964C7E"/>
    <w:rsid w:val="009656C1"/>
    <w:rsid w:val="00965ECB"/>
    <w:rsid w:val="0096610C"/>
    <w:rsid w:val="0096619B"/>
    <w:rsid w:val="0096619D"/>
    <w:rsid w:val="00966C35"/>
    <w:rsid w:val="00971023"/>
    <w:rsid w:val="0097102D"/>
    <w:rsid w:val="0097269A"/>
    <w:rsid w:val="0097304A"/>
    <w:rsid w:val="00974F26"/>
    <w:rsid w:val="00975234"/>
    <w:rsid w:val="00976199"/>
    <w:rsid w:val="009767C2"/>
    <w:rsid w:val="009768C8"/>
    <w:rsid w:val="00976AA9"/>
    <w:rsid w:val="00977816"/>
    <w:rsid w:val="009779DA"/>
    <w:rsid w:val="00981AB3"/>
    <w:rsid w:val="00982097"/>
    <w:rsid w:val="0098308A"/>
    <w:rsid w:val="0098339E"/>
    <w:rsid w:val="0098509D"/>
    <w:rsid w:val="009851ED"/>
    <w:rsid w:val="009853FF"/>
    <w:rsid w:val="0098566E"/>
    <w:rsid w:val="00985ADE"/>
    <w:rsid w:val="0098633C"/>
    <w:rsid w:val="00986557"/>
    <w:rsid w:val="00986713"/>
    <w:rsid w:val="00987224"/>
    <w:rsid w:val="00987C73"/>
    <w:rsid w:val="00990EAF"/>
    <w:rsid w:val="00993042"/>
    <w:rsid w:val="0099410C"/>
    <w:rsid w:val="00994FA2"/>
    <w:rsid w:val="00995EA1"/>
    <w:rsid w:val="00995EB7"/>
    <w:rsid w:val="009965D4"/>
    <w:rsid w:val="00996AE0"/>
    <w:rsid w:val="00996DF6"/>
    <w:rsid w:val="00997CDD"/>
    <w:rsid w:val="009A0510"/>
    <w:rsid w:val="009A0665"/>
    <w:rsid w:val="009A0A2F"/>
    <w:rsid w:val="009A1BAA"/>
    <w:rsid w:val="009A22CF"/>
    <w:rsid w:val="009A233C"/>
    <w:rsid w:val="009A3140"/>
    <w:rsid w:val="009A5E6D"/>
    <w:rsid w:val="009B086A"/>
    <w:rsid w:val="009B1AFE"/>
    <w:rsid w:val="009B20B4"/>
    <w:rsid w:val="009B24C0"/>
    <w:rsid w:val="009B3E5C"/>
    <w:rsid w:val="009B53CA"/>
    <w:rsid w:val="009B60E1"/>
    <w:rsid w:val="009B72D2"/>
    <w:rsid w:val="009B7946"/>
    <w:rsid w:val="009C1DE7"/>
    <w:rsid w:val="009C2623"/>
    <w:rsid w:val="009C3AE9"/>
    <w:rsid w:val="009C3D30"/>
    <w:rsid w:val="009C43D4"/>
    <w:rsid w:val="009C4686"/>
    <w:rsid w:val="009C6FD8"/>
    <w:rsid w:val="009C75AA"/>
    <w:rsid w:val="009D1807"/>
    <w:rsid w:val="009D2886"/>
    <w:rsid w:val="009D2D49"/>
    <w:rsid w:val="009D2D63"/>
    <w:rsid w:val="009D322A"/>
    <w:rsid w:val="009D4494"/>
    <w:rsid w:val="009D45E6"/>
    <w:rsid w:val="009D5FD4"/>
    <w:rsid w:val="009D674C"/>
    <w:rsid w:val="009D6ED4"/>
    <w:rsid w:val="009D7237"/>
    <w:rsid w:val="009D791F"/>
    <w:rsid w:val="009E0D83"/>
    <w:rsid w:val="009E2D15"/>
    <w:rsid w:val="009E2DB0"/>
    <w:rsid w:val="009E3BB1"/>
    <w:rsid w:val="009E48A4"/>
    <w:rsid w:val="009E5A1D"/>
    <w:rsid w:val="009E5DB8"/>
    <w:rsid w:val="009E788B"/>
    <w:rsid w:val="009F1096"/>
    <w:rsid w:val="009F2F60"/>
    <w:rsid w:val="009F3D89"/>
    <w:rsid w:val="009F3F88"/>
    <w:rsid w:val="009F43D2"/>
    <w:rsid w:val="009F4812"/>
    <w:rsid w:val="009F5403"/>
    <w:rsid w:val="009F6980"/>
    <w:rsid w:val="009F69FC"/>
    <w:rsid w:val="00A000E2"/>
    <w:rsid w:val="00A00EA4"/>
    <w:rsid w:val="00A02567"/>
    <w:rsid w:val="00A03EA6"/>
    <w:rsid w:val="00A04565"/>
    <w:rsid w:val="00A10B4D"/>
    <w:rsid w:val="00A10B71"/>
    <w:rsid w:val="00A11A8C"/>
    <w:rsid w:val="00A12611"/>
    <w:rsid w:val="00A1362D"/>
    <w:rsid w:val="00A138BE"/>
    <w:rsid w:val="00A13982"/>
    <w:rsid w:val="00A1487A"/>
    <w:rsid w:val="00A14CCE"/>
    <w:rsid w:val="00A14DD0"/>
    <w:rsid w:val="00A1550B"/>
    <w:rsid w:val="00A15A1C"/>
    <w:rsid w:val="00A15B7B"/>
    <w:rsid w:val="00A17A2C"/>
    <w:rsid w:val="00A17D3A"/>
    <w:rsid w:val="00A2104A"/>
    <w:rsid w:val="00A211B3"/>
    <w:rsid w:val="00A22673"/>
    <w:rsid w:val="00A22FD0"/>
    <w:rsid w:val="00A23428"/>
    <w:rsid w:val="00A23B48"/>
    <w:rsid w:val="00A24C2A"/>
    <w:rsid w:val="00A26D72"/>
    <w:rsid w:val="00A27A34"/>
    <w:rsid w:val="00A31C34"/>
    <w:rsid w:val="00A320A7"/>
    <w:rsid w:val="00A3431B"/>
    <w:rsid w:val="00A35A12"/>
    <w:rsid w:val="00A35CBC"/>
    <w:rsid w:val="00A367FC"/>
    <w:rsid w:val="00A36B80"/>
    <w:rsid w:val="00A36FF0"/>
    <w:rsid w:val="00A37234"/>
    <w:rsid w:val="00A40780"/>
    <w:rsid w:val="00A41C83"/>
    <w:rsid w:val="00A42E28"/>
    <w:rsid w:val="00A433C3"/>
    <w:rsid w:val="00A43510"/>
    <w:rsid w:val="00A44A1F"/>
    <w:rsid w:val="00A44F04"/>
    <w:rsid w:val="00A470B3"/>
    <w:rsid w:val="00A475DB"/>
    <w:rsid w:val="00A47F66"/>
    <w:rsid w:val="00A51029"/>
    <w:rsid w:val="00A516D4"/>
    <w:rsid w:val="00A51DEF"/>
    <w:rsid w:val="00A5237F"/>
    <w:rsid w:val="00A52C5D"/>
    <w:rsid w:val="00A53AD0"/>
    <w:rsid w:val="00A54E97"/>
    <w:rsid w:val="00A56204"/>
    <w:rsid w:val="00A56ECF"/>
    <w:rsid w:val="00A573AD"/>
    <w:rsid w:val="00A57E9B"/>
    <w:rsid w:val="00A60C2D"/>
    <w:rsid w:val="00A60D78"/>
    <w:rsid w:val="00A61C60"/>
    <w:rsid w:val="00A6291D"/>
    <w:rsid w:val="00A63B03"/>
    <w:rsid w:val="00A64EE1"/>
    <w:rsid w:val="00A6584B"/>
    <w:rsid w:val="00A6589B"/>
    <w:rsid w:val="00A65F19"/>
    <w:rsid w:val="00A677AC"/>
    <w:rsid w:val="00A7018E"/>
    <w:rsid w:val="00A70399"/>
    <w:rsid w:val="00A70F52"/>
    <w:rsid w:val="00A71C5C"/>
    <w:rsid w:val="00A71E7C"/>
    <w:rsid w:val="00A720BF"/>
    <w:rsid w:val="00A7492D"/>
    <w:rsid w:val="00A74D18"/>
    <w:rsid w:val="00A7528E"/>
    <w:rsid w:val="00A753D9"/>
    <w:rsid w:val="00A75B75"/>
    <w:rsid w:val="00A766F6"/>
    <w:rsid w:val="00A77674"/>
    <w:rsid w:val="00A8315C"/>
    <w:rsid w:val="00A8396B"/>
    <w:rsid w:val="00A83BF1"/>
    <w:rsid w:val="00A83CA6"/>
    <w:rsid w:val="00A840B6"/>
    <w:rsid w:val="00A87EAE"/>
    <w:rsid w:val="00A906CE"/>
    <w:rsid w:val="00A90A10"/>
    <w:rsid w:val="00A90E7F"/>
    <w:rsid w:val="00A923F9"/>
    <w:rsid w:val="00A92517"/>
    <w:rsid w:val="00A9294E"/>
    <w:rsid w:val="00A94110"/>
    <w:rsid w:val="00A94E9E"/>
    <w:rsid w:val="00A966C9"/>
    <w:rsid w:val="00A96DE4"/>
    <w:rsid w:val="00A97555"/>
    <w:rsid w:val="00A97898"/>
    <w:rsid w:val="00AA16DB"/>
    <w:rsid w:val="00AA2939"/>
    <w:rsid w:val="00AA3BEC"/>
    <w:rsid w:val="00AA410E"/>
    <w:rsid w:val="00AA50E0"/>
    <w:rsid w:val="00AA5DC9"/>
    <w:rsid w:val="00AA7273"/>
    <w:rsid w:val="00AB048A"/>
    <w:rsid w:val="00AB29DF"/>
    <w:rsid w:val="00AB499D"/>
    <w:rsid w:val="00AB4F4E"/>
    <w:rsid w:val="00AB50D9"/>
    <w:rsid w:val="00AB5D7F"/>
    <w:rsid w:val="00AB68D5"/>
    <w:rsid w:val="00AB6970"/>
    <w:rsid w:val="00AB714E"/>
    <w:rsid w:val="00AC0758"/>
    <w:rsid w:val="00AC0F55"/>
    <w:rsid w:val="00AC110E"/>
    <w:rsid w:val="00AC1D0E"/>
    <w:rsid w:val="00AC203A"/>
    <w:rsid w:val="00AC23AE"/>
    <w:rsid w:val="00AC24B2"/>
    <w:rsid w:val="00AC2B28"/>
    <w:rsid w:val="00AC3666"/>
    <w:rsid w:val="00AC4261"/>
    <w:rsid w:val="00AC5350"/>
    <w:rsid w:val="00AC574A"/>
    <w:rsid w:val="00AD024B"/>
    <w:rsid w:val="00AD14A7"/>
    <w:rsid w:val="00AD15D7"/>
    <w:rsid w:val="00AD22BE"/>
    <w:rsid w:val="00AD28D4"/>
    <w:rsid w:val="00AD2A05"/>
    <w:rsid w:val="00AD346F"/>
    <w:rsid w:val="00AD38DD"/>
    <w:rsid w:val="00AD3C7D"/>
    <w:rsid w:val="00AD3CEE"/>
    <w:rsid w:val="00AD493F"/>
    <w:rsid w:val="00AD4CEB"/>
    <w:rsid w:val="00AD4F38"/>
    <w:rsid w:val="00AD57FE"/>
    <w:rsid w:val="00AD6CAC"/>
    <w:rsid w:val="00AD7A1A"/>
    <w:rsid w:val="00AE1772"/>
    <w:rsid w:val="00AE17AF"/>
    <w:rsid w:val="00AE268D"/>
    <w:rsid w:val="00AE29B4"/>
    <w:rsid w:val="00AE2A00"/>
    <w:rsid w:val="00AE2F21"/>
    <w:rsid w:val="00AE37BF"/>
    <w:rsid w:val="00AE3D6D"/>
    <w:rsid w:val="00AE5196"/>
    <w:rsid w:val="00AE530A"/>
    <w:rsid w:val="00AE7883"/>
    <w:rsid w:val="00AF0617"/>
    <w:rsid w:val="00AF2038"/>
    <w:rsid w:val="00AF2B9B"/>
    <w:rsid w:val="00AF2E03"/>
    <w:rsid w:val="00AF3795"/>
    <w:rsid w:val="00AF380D"/>
    <w:rsid w:val="00AF4263"/>
    <w:rsid w:val="00AF42AC"/>
    <w:rsid w:val="00AF49FD"/>
    <w:rsid w:val="00AF4EA1"/>
    <w:rsid w:val="00AF5B3E"/>
    <w:rsid w:val="00AF5C20"/>
    <w:rsid w:val="00AF5EAE"/>
    <w:rsid w:val="00AF654E"/>
    <w:rsid w:val="00AF6A35"/>
    <w:rsid w:val="00B0026A"/>
    <w:rsid w:val="00B01047"/>
    <w:rsid w:val="00B01334"/>
    <w:rsid w:val="00B014FD"/>
    <w:rsid w:val="00B0565C"/>
    <w:rsid w:val="00B0591B"/>
    <w:rsid w:val="00B05CD6"/>
    <w:rsid w:val="00B077BC"/>
    <w:rsid w:val="00B0788B"/>
    <w:rsid w:val="00B10466"/>
    <w:rsid w:val="00B1076F"/>
    <w:rsid w:val="00B10910"/>
    <w:rsid w:val="00B1230F"/>
    <w:rsid w:val="00B1237E"/>
    <w:rsid w:val="00B13116"/>
    <w:rsid w:val="00B147D1"/>
    <w:rsid w:val="00B15DD1"/>
    <w:rsid w:val="00B16D44"/>
    <w:rsid w:val="00B17FE6"/>
    <w:rsid w:val="00B21776"/>
    <w:rsid w:val="00B219C4"/>
    <w:rsid w:val="00B21A8F"/>
    <w:rsid w:val="00B22AA0"/>
    <w:rsid w:val="00B235AC"/>
    <w:rsid w:val="00B23BCF"/>
    <w:rsid w:val="00B249D9"/>
    <w:rsid w:val="00B259C5"/>
    <w:rsid w:val="00B25EB4"/>
    <w:rsid w:val="00B26658"/>
    <w:rsid w:val="00B27E08"/>
    <w:rsid w:val="00B309AA"/>
    <w:rsid w:val="00B30C9B"/>
    <w:rsid w:val="00B30E37"/>
    <w:rsid w:val="00B32098"/>
    <w:rsid w:val="00B33984"/>
    <w:rsid w:val="00B33B7D"/>
    <w:rsid w:val="00B33C12"/>
    <w:rsid w:val="00B33E05"/>
    <w:rsid w:val="00B340C8"/>
    <w:rsid w:val="00B345A2"/>
    <w:rsid w:val="00B34616"/>
    <w:rsid w:val="00B351D9"/>
    <w:rsid w:val="00B3646A"/>
    <w:rsid w:val="00B36E79"/>
    <w:rsid w:val="00B40E84"/>
    <w:rsid w:val="00B430BD"/>
    <w:rsid w:val="00B43EB5"/>
    <w:rsid w:val="00B448A8"/>
    <w:rsid w:val="00B45BC0"/>
    <w:rsid w:val="00B51588"/>
    <w:rsid w:val="00B5169A"/>
    <w:rsid w:val="00B53753"/>
    <w:rsid w:val="00B54021"/>
    <w:rsid w:val="00B5450F"/>
    <w:rsid w:val="00B55D9B"/>
    <w:rsid w:val="00B55F63"/>
    <w:rsid w:val="00B5659C"/>
    <w:rsid w:val="00B5679F"/>
    <w:rsid w:val="00B57611"/>
    <w:rsid w:val="00B60A1B"/>
    <w:rsid w:val="00B621AD"/>
    <w:rsid w:val="00B6259F"/>
    <w:rsid w:val="00B632FC"/>
    <w:rsid w:val="00B636FA"/>
    <w:rsid w:val="00B63E62"/>
    <w:rsid w:val="00B64421"/>
    <w:rsid w:val="00B64BED"/>
    <w:rsid w:val="00B65157"/>
    <w:rsid w:val="00B662B6"/>
    <w:rsid w:val="00B6647B"/>
    <w:rsid w:val="00B66D3A"/>
    <w:rsid w:val="00B671DA"/>
    <w:rsid w:val="00B67C38"/>
    <w:rsid w:val="00B70229"/>
    <w:rsid w:val="00B7032B"/>
    <w:rsid w:val="00B70E4B"/>
    <w:rsid w:val="00B720B8"/>
    <w:rsid w:val="00B727F1"/>
    <w:rsid w:val="00B72E97"/>
    <w:rsid w:val="00B74363"/>
    <w:rsid w:val="00B7442C"/>
    <w:rsid w:val="00B75C34"/>
    <w:rsid w:val="00B8092F"/>
    <w:rsid w:val="00B80B20"/>
    <w:rsid w:val="00B81CBD"/>
    <w:rsid w:val="00B82034"/>
    <w:rsid w:val="00B82E2B"/>
    <w:rsid w:val="00B8524C"/>
    <w:rsid w:val="00B86544"/>
    <w:rsid w:val="00B86AFE"/>
    <w:rsid w:val="00B902A4"/>
    <w:rsid w:val="00B90EC4"/>
    <w:rsid w:val="00B91111"/>
    <w:rsid w:val="00B911B6"/>
    <w:rsid w:val="00B913F6"/>
    <w:rsid w:val="00B91B64"/>
    <w:rsid w:val="00B92E43"/>
    <w:rsid w:val="00B936C6"/>
    <w:rsid w:val="00B94A31"/>
    <w:rsid w:val="00B95018"/>
    <w:rsid w:val="00B95A24"/>
    <w:rsid w:val="00B95E99"/>
    <w:rsid w:val="00B9665A"/>
    <w:rsid w:val="00B97310"/>
    <w:rsid w:val="00B97E95"/>
    <w:rsid w:val="00BA059F"/>
    <w:rsid w:val="00BA1B48"/>
    <w:rsid w:val="00BA2A07"/>
    <w:rsid w:val="00BA48E5"/>
    <w:rsid w:val="00BA4CB1"/>
    <w:rsid w:val="00BA62B7"/>
    <w:rsid w:val="00BA62E9"/>
    <w:rsid w:val="00BA7E77"/>
    <w:rsid w:val="00BB0DF6"/>
    <w:rsid w:val="00BB1085"/>
    <w:rsid w:val="00BB6700"/>
    <w:rsid w:val="00BC0230"/>
    <w:rsid w:val="00BC0D16"/>
    <w:rsid w:val="00BC0F7F"/>
    <w:rsid w:val="00BC1CE4"/>
    <w:rsid w:val="00BC1D78"/>
    <w:rsid w:val="00BC1FF8"/>
    <w:rsid w:val="00BC309D"/>
    <w:rsid w:val="00BC31C7"/>
    <w:rsid w:val="00BC321C"/>
    <w:rsid w:val="00BC33D4"/>
    <w:rsid w:val="00BC378F"/>
    <w:rsid w:val="00BC5A03"/>
    <w:rsid w:val="00BC7385"/>
    <w:rsid w:val="00BD0058"/>
    <w:rsid w:val="00BD02BC"/>
    <w:rsid w:val="00BD06F4"/>
    <w:rsid w:val="00BD0740"/>
    <w:rsid w:val="00BD0BC7"/>
    <w:rsid w:val="00BD0E99"/>
    <w:rsid w:val="00BD1DA1"/>
    <w:rsid w:val="00BD2ACF"/>
    <w:rsid w:val="00BD496C"/>
    <w:rsid w:val="00BD5610"/>
    <w:rsid w:val="00BD63F6"/>
    <w:rsid w:val="00BD64CC"/>
    <w:rsid w:val="00BD6812"/>
    <w:rsid w:val="00BD6F99"/>
    <w:rsid w:val="00BD775E"/>
    <w:rsid w:val="00BD7868"/>
    <w:rsid w:val="00BE0DA0"/>
    <w:rsid w:val="00BE12B5"/>
    <w:rsid w:val="00BE12D4"/>
    <w:rsid w:val="00BE194D"/>
    <w:rsid w:val="00BE1CFC"/>
    <w:rsid w:val="00BE3B11"/>
    <w:rsid w:val="00BE3C29"/>
    <w:rsid w:val="00BE44E7"/>
    <w:rsid w:val="00BE4F63"/>
    <w:rsid w:val="00BE5CAE"/>
    <w:rsid w:val="00BE5CC6"/>
    <w:rsid w:val="00BF05C0"/>
    <w:rsid w:val="00BF0E5E"/>
    <w:rsid w:val="00BF0EAE"/>
    <w:rsid w:val="00BF227F"/>
    <w:rsid w:val="00BF23D9"/>
    <w:rsid w:val="00BF53CD"/>
    <w:rsid w:val="00BF65F9"/>
    <w:rsid w:val="00BF794B"/>
    <w:rsid w:val="00BF7ECB"/>
    <w:rsid w:val="00C0156C"/>
    <w:rsid w:val="00C02348"/>
    <w:rsid w:val="00C04921"/>
    <w:rsid w:val="00C06C4B"/>
    <w:rsid w:val="00C0768C"/>
    <w:rsid w:val="00C10EB4"/>
    <w:rsid w:val="00C11DEA"/>
    <w:rsid w:val="00C11E58"/>
    <w:rsid w:val="00C12B51"/>
    <w:rsid w:val="00C12DBC"/>
    <w:rsid w:val="00C13737"/>
    <w:rsid w:val="00C139D8"/>
    <w:rsid w:val="00C14D32"/>
    <w:rsid w:val="00C1543F"/>
    <w:rsid w:val="00C15962"/>
    <w:rsid w:val="00C16C0B"/>
    <w:rsid w:val="00C16D5A"/>
    <w:rsid w:val="00C16F6B"/>
    <w:rsid w:val="00C1746C"/>
    <w:rsid w:val="00C20222"/>
    <w:rsid w:val="00C21093"/>
    <w:rsid w:val="00C232A1"/>
    <w:rsid w:val="00C234E9"/>
    <w:rsid w:val="00C24F27"/>
    <w:rsid w:val="00C24F90"/>
    <w:rsid w:val="00C2598D"/>
    <w:rsid w:val="00C26285"/>
    <w:rsid w:val="00C27E90"/>
    <w:rsid w:val="00C27F89"/>
    <w:rsid w:val="00C333F8"/>
    <w:rsid w:val="00C34554"/>
    <w:rsid w:val="00C346DB"/>
    <w:rsid w:val="00C34CF2"/>
    <w:rsid w:val="00C366D3"/>
    <w:rsid w:val="00C36EFB"/>
    <w:rsid w:val="00C37838"/>
    <w:rsid w:val="00C4085E"/>
    <w:rsid w:val="00C41621"/>
    <w:rsid w:val="00C427D1"/>
    <w:rsid w:val="00C43683"/>
    <w:rsid w:val="00C4699D"/>
    <w:rsid w:val="00C47736"/>
    <w:rsid w:val="00C478E1"/>
    <w:rsid w:val="00C47A0D"/>
    <w:rsid w:val="00C47D8A"/>
    <w:rsid w:val="00C51559"/>
    <w:rsid w:val="00C5578C"/>
    <w:rsid w:val="00C55900"/>
    <w:rsid w:val="00C5665C"/>
    <w:rsid w:val="00C56C91"/>
    <w:rsid w:val="00C56FAB"/>
    <w:rsid w:val="00C57069"/>
    <w:rsid w:val="00C57B10"/>
    <w:rsid w:val="00C600C8"/>
    <w:rsid w:val="00C60126"/>
    <w:rsid w:val="00C60574"/>
    <w:rsid w:val="00C606E5"/>
    <w:rsid w:val="00C60DC7"/>
    <w:rsid w:val="00C61490"/>
    <w:rsid w:val="00C625B5"/>
    <w:rsid w:val="00C62C1F"/>
    <w:rsid w:val="00C62E1F"/>
    <w:rsid w:val="00C6313E"/>
    <w:rsid w:val="00C6381E"/>
    <w:rsid w:val="00C64156"/>
    <w:rsid w:val="00C65588"/>
    <w:rsid w:val="00C65E78"/>
    <w:rsid w:val="00C65F7D"/>
    <w:rsid w:val="00C66AAD"/>
    <w:rsid w:val="00C70A55"/>
    <w:rsid w:val="00C70BD2"/>
    <w:rsid w:val="00C70F8E"/>
    <w:rsid w:val="00C723BC"/>
    <w:rsid w:val="00C7408F"/>
    <w:rsid w:val="00C74F31"/>
    <w:rsid w:val="00C768A7"/>
    <w:rsid w:val="00C76C79"/>
    <w:rsid w:val="00C777E5"/>
    <w:rsid w:val="00C80D6A"/>
    <w:rsid w:val="00C80E7D"/>
    <w:rsid w:val="00C82F30"/>
    <w:rsid w:val="00C85333"/>
    <w:rsid w:val="00C864E7"/>
    <w:rsid w:val="00C8702C"/>
    <w:rsid w:val="00C87202"/>
    <w:rsid w:val="00C87B4A"/>
    <w:rsid w:val="00C909B1"/>
    <w:rsid w:val="00C91C3A"/>
    <w:rsid w:val="00C92490"/>
    <w:rsid w:val="00C92D49"/>
    <w:rsid w:val="00C939ED"/>
    <w:rsid w:val="00C93A74"/>
    <w:rsid w:val="00C944BF"/>
    <w:rsid w:val="00C944C4"/>
    <w:rsid w:val="00C968BC"/>
    <w:rsid w:val="00C97B75"/>
    <w:rsid w:val="00C97CAA"/>
    <w:rsid w:val="00CA09ED"/>
    <w:rsid w:val="00CA1031"/>
    <w:rsid w:val="00CA32CD"/>
    <w:rsid w:val="00CA33A8"/>
    <w:rsid w:val="00CA513D"/>
    <w:rsid w:val="00CA5FA4"/>
    <w:rsid w:val="00CA74F2"/>
    <w:rsid w:val="00CB16F2"/>
    <w:rsid w:val="00CB1723"/>
    <w:rsid w:val="00CB3C35"/>
    <w:rsid w:val="00CB4D22"/>
    <w:rsid w:val="00CB543C"/>
    <w:rsid w:val="00CB6C43"/>
    <w:rsid w:val="00CB7BCF"/>
    <w:rsid w:val="00CB7C66"/>
    <w:rsid w:val="00CB7CC5"/>
    <w:rsid w:val="00CC0CA0"/>
    <w:rsid w:val="00CC2CBC"/>
    <w:rsid w:val="00CC4122"/>
    <w:rsid w:val="00CC43FF"/>
    <w:rsid w:val="00CC47F5"/>
    <w:rsid w:val="00CC4CF0"/>
    <w:rsid w:val="00CC51A3"/>
    <w:rsid w:val="00CC55A2"/>
    <w:rsid w:val="00CC6041"/>
    <w:rsid w:val="00CC6313"/>
    <w:rsid w:val="00CC72BC"/>
    <w:rsid w:val="00CC78DB"/>
    <w:rsid w:val="00CC7A51"/>
    <w:rsid w:val="00CC7BC8"/>
    <w:rsid w:val="00CD08B1"/>
    <w:rsid w:val="00CD0A4E"/>
    <w:rsid w:val="00CD107E"/>
    <w:rsid w:val="00CD16C3"/>
    <w:rsid w:val="00CD2155"/>
    <w:rsid w:val="00CD3601"/>
    <w:rsid w:val="00CD3E06"/>
    <w:rsid w:val="00CD3E44"/>
    <w:rsid w:val="00CD4867"/>
    <w:rsid w:val="00CE076B"/>
    <w:rsid w:val="00CE0EEC"/>
    <w:rsid w:val="00CE3DA1"/>
    <w:rsid w:val="00CE6308"/>
    <w:rsid w:val="00CE75B2"/>
    <w:rsid w:val="00CE7F14"/>
    <w:rsid w:val="00CF0BA1"/>
    <w:rsid w:val="00CF204E"/>
    <w:rsid w:val="00CF3373"/>
    <w:rsid w:val="00CF4F01"/>
    <w:rsid w:val="00CF599A"/>
    <w:rsid w:val="00CF6014"/>
    <w:rsid w:val="00CF6914"/>
    <w:rsid w:val="00D0028B"/>
    <w:rsid w:val="00D00620"/>
    <w:rsid w:val="00D02436"/>
    <w:rsid w:val="00D030BE"/>
    <w:rsid w:val="00D045ED"/>
    <w:rsid w:val="00D04B26"/>
    <w:rsid w:val="00D050B3"/>
    <w:rsid w:val="00D0580D"/>
    <w:rsid w:val="00D0774F"/>
    <w:rsid w:val="00D10102"/>
    <w:rsid w:val="00D10360"/>
    <w:rsid w:val="00D11681"/>
    <w:rsid w:val="00D11ADE"/>
    <w:rsid w:val="00D1377E"/>
    <w:rsid w:val="00D13B60"/>
    <w:rsid w:val="00D155CD"/>
    <w:rsid w:val="00D15C8D"/>
    <w:rsid w:val="00D168DC"/>
    <w:rsid w:val="00D16946"/>
    <w:rsid w:val="00D17EC1"/>
    <w:rsid w:val="00D20A70"/>
    <w:rsid w:val="00D21474"/>
    <w:rsid w:val="00D229CC"/>
    <w:rsid w:val="00D23124"/>
    <w:rsid w:val="00D23429"/>
    <w:rsid w:val="00D23741"/>
    <w:rsid w:val="00D237AB"/>
    <w:rsid w:val="00D23AAE"/>
    <w:rsid w:val="00D23DEF"/>
    <w:rsid w:val="00D2406D"/>
    <w:rsid w:val="00D25565"/>
    <w:rsid w:val="00D267F2"/>
    <w:rsid w:val="00D2682A"/>
    <w:rsid w:val="00D269FD"/>
    <w:rsid w:val="00D26F59"/>
    <w:rsid w:val="00D27595"/>
    <w:rsid w:val="00D32570"/>
    <w:rsid w:val="00D32BD5"/>
    <w:rsid w:val="00D32BFB"/>
    <w:rsid w:val="00D34B6F"/>
    <w:rsid w:val="00D34E2E"/>
    <w:rsid w:val="00D34EAA"/>
    <w:rsid w:val="00D34EAE"/>
    <w:rsid w:val="00D36471"/>
    <w:rsid w:val="00D369FE"/>
    <w:rsid w:val="00D376D8"/>
    <w:rsid w:val="00D40A39"/>
    <w:rsid w:val="00D41AA3"/>
    <w:rsid w:val="00D426B6"/>
    <w:rsid w:val="00D42D42"/>
    <w:rsid w:val="00D443EA"/>
    <w:rsid w:val="00D4497F"/>
    <w:rsid w:val="00D44A11"/>
    <w:rsid w:val="00D479B1"/>
    <w:rsid w:val="00D47B49"/>
    <w:rsid w:val="00D47F00"/>
    <w:rsid w:val="00D50944"/>
    <w:rsid w:val="00D509DF"/>
    <w:rsid w:val="00D510D7"/>
    <w:rsid w:val="00D52574"/>
    <w:rsid w:val="00D53AE2"/>
    <w:rsid w:val="00D53B2B"/>
    <w:rsid w:val="00D540A7"/>
    <w:rsid w:val="00D54397"/>
    <w:rsid w:val="00D553B4"/>
    <w:rsid w:val="00D5546B"/>
    <w:rsid w:val="00D56736"/>
    <w:rsid w:val="00D57983"/>
    <w:rsid w:val="00D61085"/>
    <w:rsid w:val="00D61A68"/>
    <w:rsid w:val="00D66504"/>
    <w:rsid w:val="00D66D8A"/>
    <w:rsid w:val="00D67F70"/>
    <w:rsid w:val="00D702CA"/>
    <w:rsid w:val="00D71635"/>
    <w:rsid w:val="00D72D5D"/>
    <w:rsid w:val="00D74C4A"/>
    <w:rsid w:val="00D76BAE"/>
    <w:rsid w:val="00D80987"/>
    <w:rsid w:val="00D809F9"/>
    <w:rsid w:val="00D827C8"/>
    <w:rsid w:val="00D828C1"/>
    <w:rsid w:val="00D83FDA"/>
    <w:rsid w:val="00D849E2"/>
    <w:rsid w:val="00D874C2"/>
    <w:rsid w:val="00D879BE"/>
    <w:rsid w:val="00D9049C"/>
    <w:rsid w:val="00D90DF9"/>
    <w:rsid w:val="00D90F39"/>
    <w:rsid w:val="00D91A3E"/>
    <w:rsid w:val="00D920C5"/>
    <w:rsid w:val="00D92FBF"/>
    <w:rsid w:val="00D937F8"/>
    <w:rsid w:val="00D967D9"/>
    <w:rsid w:val="00D968E0"/>
    <w:rsid w:val="00D96A7F"/>
    <w:rsid w:val="00D975E1"/>
    <w:rsid w:val="00DA0731"/>
    <w:rsid w:val="00DA0E8D"/>
    <w:rsid w:val="00DA1202"/>
    <w:rsid w:val="00DA4837"/>
    <w:rsid w:val="00DA5142"/>
    <w:rsid w:val="00DA59DE"/>
    <w:rsid w:val="00DA608B"/>
    <w:rsid w:val="00DA685C"/>
    <w:rsid w:val="00DA7D49"/>
    <w:rsid w:val="00DB34FA"/>
    <w:rsid w:val="00DB594F"/>
    <w:rsid w:val="00DB68BE"/>
    <w:rsid w:val="00DB6ABA"/>
    <w:rsid w:val="00DC018B"/>
    <w:rsid w:val="00DC03DC"/>
    <w:rsid w:val="00DC0DB3"/>
    <w:rsid w:val="00DC20BE"/>
    <w:rsid w:val="00DC35AC"/>
    <w:rsid w:val="00DC3E92"/>
    <w:rsid w:val="00DC3F4E"/>
    <w:rsid w:val="00DC52A6"/>
    <w:rsid w:val="00DC624B"/>
    <w:rsid w:val="00DC7A19"/>
    <w:rsid w:val="00DD00DE"/>
    <w:rsid w:val="00DD1AC5"/>
    <w:rsid w:val="00DD2DC9"/>
    <w:rsid w:val="00DD3905"/>
    <w:rsid w:val="00DD6507"/>
    <w:rsid w:val="00DD6EDF"/>
    <w:rsid w:val="00DD7B9B"/>
    <w:rsid w:val="00DE0E36"/>
    <w:rsid w:val="00DE15D5"/>
    <w:rsid w:val="00DE1CC0"/>
    <w:rsid w:val="00DE25ED"/>
    <w:rsid w:val="00DE46B9"/>
    <w:rsid w:val="00DE50C9"/>
    <w:rsid w:val="00DE525A"/>
    <w:rsid w:val="00DE742B"/>
    <w:rsid w:val="00DF05A2"/>
    <w:rsid w:val="00DF2F0D"/>
    <w:rsid w:val="00DF3412"/>
    <w:rsid w:val="00DF38A4"/>
    <w:rsid w:val="00DF39D8"/>
    <w:rsid w:val="00DF3C42"/>
    <w:rsid w:val="00DF3FCF"/>
    <w:rsid w:val="00DF46F8"/>
    <w:rsid w:val="00DF7B76"/>
    <w:rsid w:val="00DF7DF0"/>
    <w:rsid w:val="00E01ACD"/>
    <w:rsid w:val="00E033EF"/>
    <w:rsid w:val="00E03896"/>
    <w:rsid w:val="00E03BDD"/>
    <w:rsid w:val="00E03EDD"/>
    <w:rsid w:val="00E04CC2"/>
    <w:rsid w:val="00E109ED"/>
    <w:rsid w:val="00E11424"/>
    <w:rsid w:val="00E117D7"/>
    <w:rsid w:val="00E123EB"/>
    <w:rsid w:val="00E12B10"/>
    <w:rsid w:val="00E132ED"/>
    <w:rsid w:val="00E136B0"/>
    <w:rsid w:val="00E140B1"/>
    <w:rsid w:val="00E143B4"/>
    <w:rsid w:val="00E149FC"/>
    <w:rsid w:val="00E14B34"/>
    <w:rsid w:val="00E16F9F"/>
    <w:rsid w:val="00E1739D"/>
    <w:rsid w:val="00E174A8"/>
    <w:rsid w:val="00E206C0"/>
    <w:rsid w:val="00E20CAB"/>
    <w:rsid w:val="00E21BA8"/>
    <w:rsid w:val="00E21EB0"/>
    <w:rsid w:val="00E2232E"/>
    <w:rsid w:val="00E22E84"/>
    <w:rsid w:val="00E2317D"/>
    <w:rsid w:val="00E23AEB"/>
    <w:rsid w:val="00E23BFA"/>
    <w:rsid w:val="00E24F4E"/>
    <w:rsid w:val="00E25B52"/>
    <w:rsid w:val="00E263D9"/>
    <w:rsid w:val="00E27019"/>
    <w:rsid w:val="00E27F6E"/>
    <w:rsid w:val="00E305C7"/>
    <w:rsid w:val="00E31221"/>
    <w:rsid w:val="00E3181B"/>
    <w:rsid w:val="00E31B2A"/>
    <w:rsid w:val="00E32A33"/>
    <w:rsid w:val="00E337B0"/>
    <w:rsid w:val="00E3513B"/>
    <w:rsid w:val="00E35622"/>
    <w:rsid w:val="00E35E1E"/>
    <w:rsid w:val="00E360A9"/>
    <w:rsid w:val="00E40E9F"/>
    <w:rsid w:val="00E40EF6"/>
    <w:rsid w:val="00E42B4B"/>
    <w:rsid w:val="00E450FC"/>
    <w:rsid w:val="00E469F0"/>
    <w:rsid w:val="00E46EED"/>
    <w:rsid w:val="00E47B0E"/>
    <w:rsid w:val="00E506D1"/>
    <w:rsid w:val="00E52107"/>
    <w:rsid w:val="00E52625"/>
    <w:rsid w:val="00E534E0"/>
    <w:rsid w:val="00E541C5"/>
    <w:rsid w:val="00E54F33"/>
    <w:rsid w:val="00E61613"/>
    <w:rsid w:val="00E636C7"/>
    <w:rsid w:val="00E63BC8"/>
    <w:rsid w:val="00E63EE4"/>
    <w:rsid w:val="00E64032"/>
    <w:rsid w:val="00E651EA"/>
    <w:rsid w:val="00E656BA"/>
    <w:rsid w:val="00E66370"/>
    <w:rsid w:val="00E66C5C"/>
    <w:rsid w:val="00E716E7"/>
    <w:rsid w:val="00E7188F"/>
    <w:rsid w:val="00E722E5"/>
    <w:rsid w:val="00E7233E"/>
    <w:rsid w:val="00E72A59"/>
    <w:rsid w:val="00E733DD"/>
    <w:rsid w:val="00E758C7"/>
    <w:rsid w:val="00E7641A"/>
    <w:rsid w:val="00E7659E"/>
    <w:rsid w:val="00E82EAB"/>
    <w:rsid w:val="00E8492B"/>
    <w:rsid w:val="00E84EBB"/>
    <w:rsid w:val="00E85121"/>
    <w:rsid w:val="00E85131"/>
    <w:rsid w:val="00E85ADC"/>
    <w:rsid w:val="00E85D3C"/>
    <w:rsid w:val="00E85F2A"/>
    <w:rsid w:val="00E864F5"/>
    <w:rsid w:val="00E91C76"/>
    <w:rsid w:val="00E91F31"/>
    <w:rsid w:val="00E93368"/>
    <w:rsid w:val="00E94B9D"/>
    <w:rsid w:val="00E951E1"/>
    <w:rsid w:val="00E96601"/>
    <w:rsid w:val="00E96B97"/>
    <w:rsid w:val="00E97310"/>
    <w:rsid w:val="00E976C5"/>
    <w:rsid w:val="00E97F01"/>
    <w:rsid w:val="00EA07F4"/>
    <w:rsid w:val="00EA10AB"/>
    <w:rsid w:val="00EA22E6"/>
    <w:rsid w:val="00EA2410"/>
    <w:rsid w:val="00EA25EB"/>
    <w:rsid w:val="00EA38D3"/>
    <w:rsid w:val="00EA3B2D"/>
    <w:rsid w:val="00EA3EDB"/>
    <w:rsid w:val="00EA4560"/>
    <w:rsid w:val="00EA46D0"/>
    <w:rsid w:val="00EA47F1"/>
    <w:rsid w:val="00EB0187"/>
    <w:rsid w:val="00EB082A"/>
    <w:rsid w:val="00EB1F23"/>
    <w:rsid w:val="00EB2C48"/>
    <w:rsid w:val="00EB4260"/>
    <w:rsid w:val="00EB50A7"/>
    <w:rsid w:val="00EB5569"/>
    <w:rsid w:val="00EB6CC6"/>
    <w:rsid w:val="00EB7894"/>
    <w:rsid w:val="00EB7B2A"/>
    <w:rsid w:val="00EC0EFE"/>
    <w:rsid w:val="00EC15E7"/>
    <w:rsid w:val="00EC1C03"/>
    <w:rsid w:val="00EC27CB"/>
    <w:rsid w:val="00EC28D9"/>
    <w:rsid w:val="00EC58D2"/>
    <w:rsid w:val="00EC5D84"/>
    <w:rsid w:val="00EC76E0"/>
    <w:rsid w:val="00EC7F10"/>
    <w:rsid w:val="00ED09A9"/>
    <w:rsid w:val="00ED0B4E"/>
    <w:rsid w:val="00ED4002"/>
    <w:rsid w:val="00ED41D8"/>
    <w:rsid w:val="00ED4744"/>
    <w:rsid w:val="00ED5137"/>
    <w:rsid w:val="00ED5703"/>
    <w:rsid w:val="00ED6BFD"/>
    <w:rsid w:val="00ED7542"/>
    <w:rsid w:val="00EE05AC"/>
    <w:rsid w:val="00EE0725"/>
    <w:rsid w:val="00EE0B19"/>
    <w:rsid w:val="00EE285D"/>
    <w:rsid w:val="00EE421B"/>
    <w:rsid w:val="00EE4CDE"/>
    <w:rsid w:val="00EE5642"/>
    <w:rsid w:val="00EE5F79"/>
    <w:rsid w:val="00EE759F"/>
    <w:rsid w:val="00EE7B3F"/>
    <w:rsid w:val="00EF16A7"/>
    <w:rsid w:val="00EF2305"/>
    <w:rsid w:val="00EF236E"/>
    <w:rsid w:val="00EF2CE3"/>
    <w:rsid w:val="00EF3A30"/>
    <w:rsid w:val="00EF3E61"/>
    <w:rsid w:val="00EF40F9"/>
    <w:rsid w:val="00EF5228"/>
    <w:rsid w:val="00EF54E1"/>
    <w:rsid w:val="00EF6845"/>
    <w:rsid w:val="00EF6C5C"/>
    <w:rsid w:val="00EF6EC4"/>
    <w:rsid w:val="00EF70C4"/>
    <w:rsid w:val="00F00F80"/>
    <w:rsid w:val="00F011C5"/>
    <w:rsid w:val="00F012E7"/>
    <w:rsid w:val="00F01DFD"/>
    <w:rsid w:val="00F04A6F"/>
    <w:rsid w:val="00F06F96"/>
    <w:rsid w:val="00F072EB"/>
    <w:rsid w:val="00F073AD"/>
    <w:rsid w:val="00F07F22"/>
    <w:rsid w:val="00F1110B"/>
    <w:rsid w:val="00F12333"/>
    <w:rsid w:val="00F14DB3"/>
    <w:rsid w:val="00F165FD"/>
    <w:rsid w:val="00F1772B"/>
    <w:rsid w:val="00F21B05"/>
    <w:rsid w:val="00F22FBF"/>
    <w:rsid w:val="00F23626"/>
    <w:rsid w:val="00F23DD5"/>
    <w:rsid w:val="00F23FBF"/>
    <w:rsid w:val="00F242F3"/>
    <w:rsid w:val="00F26DE0"/>
    <w:rsid w:val="00F27288"/>
    <w:rsid w:val="00F27814"/>
    <w:rsid w:val="00F32B94"/>
    <w:rsid w:val="00F34E7C"/>
    <w:rsid w:val="00F34F7B"/>
    <w:rsid w:val="00F3509B"/>
    <w:rsid w:val="00F35322"/>
    <w:rsid w:val="00F35E04"/>
    <w:rsid w:val="00F363BD"/>
    <w:rsid w:val="00F37D88"/>
    <w:rsid w:val="00F4134C"/>
    <w:rsid w:val="00F41F66"/>
    <w:rsid w:val="00F41F75"/>
    <w:rsid w:val="00F424E0"/>
    <w:rsid w:val="00F4344E"/>
    <w:rsid w:val="00F43A47"/>
    <w:rsid w:val="00F47C63"/>
    <w:rsid w:val="00F5140E"/>
    <w:rsid w:val="00F524EF"/>
    <w:rsid w:val="00F52C9D"/>
    <w:rsid w:val="00F535CE"/>
    <w:rsid w:val="00F53CB2"/>
    <w:rsid w:val="00F54054"/>
    <w:rsid w:val="00F5410E"/>
    <w:rsid w:val="00F547D8"/>
    <w:rsid w:val="00F54CD5"/>
    <w:rsid w:val="00F55180"/>
    <w:rsid w:val="00F62968"/>
    <w:rsid w:val="00F6306C"/>
    <w:rsid w:val="00F64B14"/>
    <w:rsid w:val="00F66001"/>
    <w:rsid w:val="00F6655F"/>
    <w:rsid w:val="00F6765D"/>
    <w:rsid w:val="00F67D61"/>
    <w:rsid w:val="00F70C79"/>
    <w:rsid w:val="00F714BC"/>
    <w:rsid w:val="00F71F42"/>
    <w:rsid w:val="00F724B5"/>
    <w:rsid w:val="00F72551"/>
    <w:rsid w:val="00F72F82"/>
    <w:rsid w:val="00F73C1D"/>
    <w:rsid w:val="00F7498B"/>
    <w:rsid w:val="00F75699"/>
    <w:rsid w:val="00F75EB3"/>
    <w:rsid w:val="00F77097"/>
    <w:rsid w:val="00F77A7B"/>
    <w:rsid w:val="00F803CE"/>
    <w:rsid w:val="00F80B46"/>
    <w:rsid w:val="00F8168B"/>
    <w:rsid w:val="00F82626"/>
    <w:rsid w:val="00F83E58"/>
    <w:rsid w:val="00F86018"/>
    <w:rsid w:val="00F901EA"/>
    <w:rsid w:val="00F91BB3"/>
    <w:rsid w:val="00F91DD0"/>
    <w:rsid w:val="00F92309"/>
    <w:rsid w:val="00F92437"/>
    <w:rsid w:val="00F92550"/>
    <w:rsid w:val="00F936FB"/>
    <w:rsid w:val="00F951C1"/>
    <w:rsid w:val="00F9581D"/>
    <w:rsid w:val="00F95F91"/>
    <w:rsid w:val="00F960B6"/>
    <w:rsid w:val="00F96D3E"/>
    <w:rsid w:val="00F9722C"/>
    <w:rsid w:val="00FA14FB"/>
    <w:rsid w:val="00FA1B6B"/>
    <w:rsid w:val="00FA20E9"/>
    <w:rsid w:val="00FA28E6"/>
    <w:rsid w:val="00FA2DA2"/>
    <w:rsid w:val="00FA30CF"/>
    <w:rsid w:val="00FA4175"/>
    <w:rsid w:val="00FA4509"/>
    <w:rsid w:val="00FA7888"/>
    <w:rsid w:val="00FB027C"/>
    <w:rsid w:val="00FB139B"/>
    <w:rsid w:val="00FB3716"/>
    <w:rsid w:val="00FB3CCC"/>
    <w:rsid w:val="00FB49EE"/>
    <w:rsid w:val="00FB54EE"/>
    <w:rsid w:val="00FB763E"/>
    <w:rsid w:val="00FB7A90"/>
    <w:rsid w:val="00FC01F2"/>
    <w:rsid w:val="00FC0642"/>
    <w:rsid w:val="00FC1264"/>
    <w:rsid w:val="00FC4DF9"/>
    <w:rsid w:val="00FC5E05"/>
    <w:rsid w:val="00FD01C5"/>
    <w:rsid w:val="00FD042F"/>
    <w:rsid w:val="00FD108A"/>
    <w:rsid w:val="00FD1FD9"/>
    <w:rsid w:val="00FD3D16"/>
    <w:rsid w:val="00FD5119"/>
    <w:rsid w:val="00FD5D26"/>
    <w:rsid w:val="00FD6A22"/>
    <w:rsid w:val="00FE06F2"/>
    <w:rsid w:val="00FE0EAC"/>
    <w:rsid w:val="00FE3981"/>
    <w:rsid w:val="00FE4569"/>
    <w:rsid w:val="00FE4704"/>
    <w:rsid w:val="00FE4B50"/>
    <w:rsid w:val="00FE702A"/>
    <w:rsid w:val="00FE7F19"/>
    <w:rsid w:val="00FF07F4"/>
    <w:rsid w:val="00FF0899"/>
    <w:rsid w:val="00FF1B82"/>
    <w:rsid w:val="00FF1E75"/>
    <w:rsid w:val="00FF25CD"/>
    <w:rsid w:val="00FF648F"/>
    <w:rsid w:val="00FF7151"/>
    <w:rsid w:val="00FF7E00"/>
    <w:rsid w:val="021535C0"/>
    <w:rsid w:val="122D02F0"/>
    <w:rsid w:val="227E1361"/>
    <w:rsid w:val="3053755D"/>
    <w:rsid w:val="3A6F21A6"/>
    <w:rsid w:val="47F29CFC"/>
    <w:rsid w:val="5DF57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BE34B"/>
  <w15:docId w15:val="{A7A4AD17-64A9-418A-B485-4AE8C0035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10"/>
    <w:pPr>
      <w:spacing w:after="60"/>
      <w:jc w:val="both"/>
    </w:pPr>
    <w:rPr>
      <w:lang w:val="es-EC"/>
    </w:rPr>
  </w:style>
  <w:style w:type="paragraph" w:styleId="Heading1">
    <w:name w:val="heading 1"/>
    <w:aliases w:val="Heading lvl 0"/>
    <w:basedOn w:val="Normal"/>
    <w:next w:val="Normal"/>
    <w:link w:val="Heading1Char"/>
    <w:uiPriority w:val="9"/>
    <w:qFormat/>
    <w:rsid w:val="00962193"/>
    <w:pPr>
      <w:keepNext/>
      <w:keepLines/>
      <w:spacing w:before="400" w:after="40"/>
      <w:outlineLvl w:val="0"/>
    </w:pPr>
    <w:rPr>
      <w:rFonts w:asciiTheme="majorHAnsi" w:eastAsiaTheme="majorEastAsia" w:hAnsiTheme="majorHAnsi" w:cstheme="majorBidi"/>
      <w:b/>
      <w:smallCaps/>
      <w:color w:val="44546A" w:themeColor="text2"/>
      <w:sz w:val="40"/>
      <w:szCs w:val="36"/>
    </w:rPr>
  </w:style>
  <w:style w:type="paragraph" w:styleId="Heading2">
    <w:name w:val="heading 2"/>
    <w:aliases w:val="Heading lvl 1"/>
    <w:basedOn w:val="Normal"/>
    <w:next w:val="Normal"/>
    <w:link w:val="Heading2Char"/>
    <w:uiPriority w:val="9"/>
    <w:unhideWhenUsed/>
    <w:qFormat/>
    <w:rsid w:val="00055A7C"/>
    <w:pPr>
      <w:keepNext/>
      <w:keepLines/>
      <w:spacing w:before="160" w:after="120"/>
      <w:outlineLvl w:val="1"/>
    </w:pPr>
    <w:rPr>
      <w:rFonts w:asciiTheme="majorHAnsi" w:eastAsia="Times New Roman" w:hAnsiTheme="majorHAnsi" w:cstheme="majorBidi"/>
      <w:b/>
      <w:bCs/>
      <w:smallCaps/>
      <w:sz w:val="28"/>
      <w:szCs w:val="24"/>
      <w:u w:val="single"/>
    </w:rPr>
  </w:style>
  <w:style w:type="paragraph" w:styleId="Heading3">
    <w:name w:val="heading 3"/>
    <w:aliases w:val="Heading lvl 2"/>
    <w:basedOn w:val="Normal"/>
    <w:next w:val="Normal"/>
    <w:link w:val="Heading3Char"/>
    <w:uiPriority w:val="9"/>
    <w:unhideWhenUsed/>
    <w:qFormat/>
    <w:rsid w:val="00D0774F"/>
    <w:pPr>
      <w:keepNext/>
      <w:spacing w:before="120"/>
      <w:outlineLvl w:val="2"/>
    </w:pPr>
    <w:rPr>
      <w:rFonts w:asciiTheme="majorHAnsi" w:eastAsia="Calibri" w:hAnsiTheme="majorHAnsi"/>
      <w:b/>
      <w:bCs/>
      <w:sz w:val="24"/>
    </w:rPr>
  </w:style>
  <w:style w:type="paragraph" w:styleId="Heading4">
    <w:name w:val="heading 4"/>
    <w:aliases w:val="Heading lvl 3"/>
    <w:basedOn w:val="Normal"/>
    <w:next w:val="Normal"/>
    <w:link w:val="Heading4Char"/>
    <w:uiPriority w:val="9"/>
    <w:unhideWhenUsed/>
    <w:qFormat/>
    <w:rsid w:val="00EC0EFE"/>
    <w:pPr>
      <w:keepNext/>
      <w:keepLines/>
      <w:spacing w:before="120"/>
      <w:outlineLvl w:val="3"/>
    </w:pPr>
    <w:rPr>
      <w:rFonts w:asciiTheme="majorHAnsi" w:eastAsiaTheme="majorEastAsia" w:hAnsiTheme="majorHAnsi" w:cstheme="majorBidi"/>
      <w:sz w:val="24"/>
      <w:szCs w:val="24"/>
      <w:u w:val="single"/>
    </w:rPr>
  </w:style>
  <w:style w:type="paragraph" w:styleId="Heading5">
    <w:name w:val="heading 5"/>
    <w:basedOn w:val="Normal"/>
    <w:next w:val="Normal"/>
    <w:link w:val="Heading5Char"/>
    <w:uiPriority w:val="9"/>
    <w:semiHidden/>
    <w:unhideWhenUsed/>
    <w:qFormat/>
    <w:rsid w:val="227E1361"/>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227E1361"/>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227E1361"/>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227E1361"/>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227E1361"/>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lvl 0 Char"/>
    <w:basedOn w:val="DefaultParagraphFont"/>
    <w:link w:val="Heading1"/>
    <w:uiPriority w:val="9"/>
    <w:rsid w:val="00962193"/>
    <w:rPr>
      <w:rFonts w:asciiTheme="majorHAnsi" w:eastAsiaTheme="majorEastAsia" w:hAnsiTheme="majorHAnsi" w:cstheme="majorBidi"/>
      <w:b/>
      <w:smallCaps/>
      <w:color w:val="44546A" w:themeColor="text2"/>
      <w:sz w:val="40"/>
      <w:szCs w:val="36"/>
      <w:lang w:val="es-EC"/>
    </w:rPr>
  </w:style>
  <w:style w:type="character" w:customStyle="1" w:styleId="Heading2Char">
    <w:name w:val="Heading 2 Char"/>
    <w:aliases w:val="Heading lvl 1 Char"/>
    <w:basedOn w:val="DefaultParagraphFont"/>
    <w:link w:val="Heading2"/>
    <w:uiPriority w:val="9"/>
    <w:rsid w:val="00055A7C"/>
    <w:rPr>
      <w:rFonts w:asciiTheme="majorHAnsi" w:eastAsia="Times New Roman" w:hAnsiTheme="majorHAnsi" w:cstheme="majorBidi"/>
      <w:b/>
      <w:bCs/>
      <w:smallCaps/>
      <w:sz w:val="28"/>
      <w:szCs w:val="24"/>
      <w:u w:val="single"/>
      <w:lang w:val="es-EC"/>
    </w:rPr>
  </w:style>
  <w:style w:type="character" w:customStyle="1" w:styleId="Heading3Char">
    <w:name w:val="Heading 3 Char"/>
    <w:aliases w:val="Heading lvl 2 Char"/>
    <w:basedOn w:val="DefaultParagraphFont"/>
    <w:link w:val="Heading3"/>
    <w:uiPriority w:val="9"/>
    <w:rsid w:val="00D0774F"/>
    <w:rPr>
      <w:rFonts w:asciiTheme="majorHAnsi" w:eastAsia="Calibri" w:hAnsiTheme="majorHAnsi"/>
      <w:b/>
      <w:bCs/>
      <w:sz w:val="24"/>
      <w:lang w:val="es-EC"/>
    </w:rPr>
  </w:style>
  <w:style w:type="character" w:customStyle="1" w:styleId="Heading5Char">
    <w:name w:val="Heading 5 Char"/>
    <w:basedOn w:val="DefaultParagraphFont"/>
    <w:link w:val="Heading5"/>
    <w:uiPriority w:val="9"/>
    <w:semiHidden/>
    <w:rsid w:val="227E1361"/>
    <w:rPr>
      <w:rFonts w:asciiTheme="majorHAnsi" w:eastAsiaTheme="majorEastAsia" w:hAnsiTheme="majorHAnsi" w:cstheme="majorBidi"/>
      <w:caps/>
      <w:noProof w:val="0"/>
      <w:color w:val="2E74B5" w:themeColor="accent1" w:themeShade="BF"/>
      <w:lang w:val="es-EC"/>
    </w:rPr>
  </w:style>
  <w:style w:type="numbering" w:customStyle="1" w:styleId="NoList1">
    <w:name w:val="No List1"/>
    <w:next w:val="NoList"/>
    <w:uiPriority w:val="99"/>
    <w:semiHidden/>
    <w:unhideWhenUsed/>
    <w:rsid w:val="00CF204E"/>
  </w:style>
  <w:style w:type="character" w:styleId="Hyperlink">
    <w:name w:val="Hyperlink"/>
    <w:uiPriority w:val="99"/>
    <w:unhideWhenUsed/>
    <w:rsid w:val="00CF204E"/>
    <w:rPr>
      <w:rFonts w:ascii="Times New Roman" w:hAnsi="Times New Roman" w:cs="Times New Roman" w:hint="default"/>
      <w:color w:val="0000FF"/>
      <w:u w:val="single"/>
    </w:rPr>
  </w:style>
  <w:style w:type="character" w:styleId="FollowedHyperlink">
    <w:name w:val="FollowedHyperlink"/>
    <w:uiPriority w:val="99"/>
    <w:semiHidden/>
    <w:unhideWhenUsed/>
    <w:rsid w:val="00CF204E"/>
    <w:rPr>
      <w:rFonts w:ascii="Times New Roman" w:hAnsi="Times New Roman" w:cs="Times New Roman" w:hint="default"/>
      <w:color w:val="800080"/>
      <w:u w:val="single"/>
    </w:rPr>
  </w:style>
  <w:style w:type="paragraph" w:styleId="NormalWeb">
    <w:name w:val="Normal (Web)"/>
    <w:basedOn w:val="Normal"/>
    <w:uiPriority w:val="99"/>
    <w:semiHidden/>
    <w:unhideWhenUsed/>
    <w:rsid w:val="227E1361"/>
    <w:pPr>
      <w:spacing w:beforeAutospacing="1" w:afterAutospacing="1"/>
    </w:pPr>
    <w:rPr>
      <w:rFonts w:ascii="Times New Roman" w:eastAsia="Times New Roman" w:hAnsi="Times New Roman" w:cs="Times New Roman"/>
      <w:color w:val="000000" w:themeColor="text1"/>
      <w:sz w:val="24"/>
      <w:szCs w:val="24"/>
    </w:rPr>
  </w:style>
  <w:style w:type="paragraph" w:styleId="TOC1">
    <w:name w:val="toc 1"/>
    <w:basedOn w:val="Normal"/>
    <w:next w:val="Normal"/>
    <w:uiPriority w:val="39"/>
    <w:unhideWhenUsed/>
    <w:rsid w:val="004B42BE"/>
    <w:pPr>
      <w:tabs>
        <w:tab w:val="right" w:leader="dot" w:pos="9270"/>
      </w:tabs>
      <w:spacing w:after="120" w:line="240" w:lineRule="auto"/>
    </w:pPr>
    <w:rPr>
      <w:rFonts w:asciiTheme="majorHAnsi" w:eastAsia="Times New Roman" w:hAnsiTheme="majorHAnsi" w:cs="Times New Roman"/>
      <w:b/>
      <w:bCs/>
      <w:smallCaps/>
      <w:color w:val="000000" w:themeColor="text1"/>
      <w:sz w:val="28"/>
      <w:szCs w:val="24"/>
    </w:rPr>
  </w:style>
  <w:style w:type="paragraph" w:styleId="TOC2">
    <w:name w:val="toc 2"/>
    <w:basedOn w:val="Normal"/>
    <w:next w:val="Normal"/>
    <w:uiPriority w:val="39"/>
    <w:unhideWhenUsed/>
    <w:rsid w:val="005D5FDB"/>
    <w:pPr>
      <w:tabs>
        <w:tab w:val="left" w:pos="960"/>
        <w:tab w:val="right" w:leader="dot" w:pos="9270"/>
      </w:tabs>
      <w:spacing w:line="240" w:lineRule="auto"/>
    </w:pPr>
    <w:rPr>
      <w:rFonts w:asciiTheme="majorHAnsi" w:eastAsia="Times New Roman" w:hAnsiTheme="majorHAnsi" w:cs="Times New Roman"/>
      <w:b/>
      <w:bCs/>
      <w:smallCaps/>
      <w:sz w:val="28"/>
      <w:szCs w:val="24"/>
    </w:rPr>
  </w:style>
  <w:style w:type="paragraph" w:styleId="TOC3">
    <w:name w:val="toc 3"/>
    <w:basedOn w:val="Normal"/>
    <w:next w:val="Normal"/>
    <w:uiPriority w:val="39"/>
    <w:unhideWhenUsed/>
    <w:rsid w:val="227E1361"/>
    <w:pPr>
      <w:ind w:left="240"/>
    </w:pPr>
    <w:rPr>
      <w:rFonts w:ascii="Times New Roman" w:eastAsia="Times New Roman" w:hAnsi="Times New Roman" w:cs="Times New Roman"/>
      <w:sz w:val="24"/>
      <w:szCs w:val="24"/>
    </w:rPr>
  </w:style>
  <w:style w:type="paragraph" w:styleId="TOC4">
    <w:name w:val="toc 4"/>
    <w:basedOn w:val="Normal"/>
    <w:next w:val="Normal"/>
    <w:uiPriority w:val="99"/>
    <w:semiHidden/>
    <w:unhideWhenUsed/>
    <w:rsid w:val="227E1361"/>
    <w:pPr>
      <w:ind w:left="480"/>
    </w:pPr>
    <w:rPr>
      <w:rFonts w:ascii="Times New Roman" w:eastAsia="Times New Roman" w:hAnsi="Times New Roman" w:cs="Times New Roman"/>
      <w:sz w:val="24"/>
      <w:szCs w:val="24"/>
    </w:rPr>
  </w:style>
  <w:style w:type="paragraph" w:styleId="TOC5">
    <w:name w:val="toc 5"/>
    <w:basedOn w:val="Normal"/>
    <w:next w:val="Normal"/>
    <w:uiPriority w:val="99"/>
    <w:semiHidden/>
    <w:unhideWhenUsed/>
    <w:rsid w:val="227E1361"/>
    <w:pPr>
      <w:ind w:left="720"/>
    </w:pPr>
    <w:rPr>
      <w:rFonts w:ascii="Times New Roman" w:eastAsia="Times New Roman" w:hAnsi="Times New Roman" w:cs="Times New Roman"/>
      <w:sz w:val="24"/>
      <w:szCs w:val="24"/>
    </w:rPr>
  </w:style>
  <w:style w:type="paragraph" w:styleId="TOC6">
    <w:name w:val="toc 6"/>
    <w:basedOn w:val="Normal"/>
    <w:next w:val="Normal"/>
    <w:uiPriority w:val="99"/>
    <w:semiHidden/>
    <w:unhideWhenUsed/>
    <w:rsid w:val="227E1361"/>
    <w:pPr>
      <w:ind w:left="960"/>
    </w:pPr>
    <w:rPr>
      <w:rFonts w:ascii="Times New Roman" w:eastAsia="Times New Roman" w:hAnsi="Times New Roman" w:cs="Times New Roman"/>
      <w:sz w:val="24"/>
      <w:szCs w:val="24"/>
    </w:rPr>
  </w:style>
  <w:style w:type="paragraph" w:styleId="TOC7">
    <w:name w:val="toc 7"/>
    <w:basedOn w:val="Normal"/>
    <w:next w:val="Normal"/>
    <w:uiPriority w:val="99"/>
    <w:semiHidden/>
    <w:unhideWhenUsed/>
    <w:rsid w:val="227E1361"/>
    <w:pPr>
      <w:ind w:left="1200"/>
    </w:pPr>
    <w:rPr>
      <w:rFonts w:ascii="Times New Roman" w:eastAsia="Times New Roman" w:hAnsi="Times New Roman" w:cs="Times New Roman"/>
      <w:sz w:val="24"/>
      <w:szCs w:val="24"/>
    </w:rPr>
  </w:style>
  <w:style w:type="paragraph" w:styleId="TOC8">
    <w:name w:val="toc 8"/>
    <w:basedOn w:val="Normal"/>
    <w:next w:val="Normal"/>
    <w:uiPriority w:val="99"/>
    <w:semiHidden/>
    <w:unhideWhenUsed/>
    <w:rsid w:val="227E1361"/>
    <w:pPr>
      <w:ind w:left="1440"/>
    </w:pPr>
    <w:rPr>
      <w:rFonts w:ascii="Times New Roman" w:eastAsia="Times New Roman" w:hAnsi="Times New Roman" w:cs="Times New Roman"/>
      <w:sz w:val="24"/>
      <w:szCs w:val="24"/>
    </w:rPr>
  </w:style>
  <w:style w:type="paragraph" w:styleId="TOC9">
    <w:name w:val="toc 9"/>
    <w:basedOn w:val="Normal"/>
    <w:next w:val="Normal"/>
    <w:uiPriority w:val="99"/>
    <w:semiHidden/>
    <w:unhideWhenUsed/>
    <w:rsid w:val="227E1361"/>
    <w:pPr>
      <w:ind w:left="1680"/>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227E1361"/>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rsid w:val="227E1361"/>
    <w:rPr>
      <w:rFonts w:ascii="Times" w:eastAsia="Times New Roman" w:hAnsi="Times" w:cs="Times New Roman"/>
      <w:noProof w:val="0"/>
      <w:sz w:val="20"/>
      <w:szCs w:val="20"/>
      <w:lang w:val="es-EC"/>
    </w:rPr>
  </w:style>
  <w:style w:type="paragraph" w:styleId="CommentText">
    <w:name w:val="annotation text"/>
    <w:basedOn w:val="Normal"/>
    <w:link w:val="CommentTextChar"/>
    <w:uiPriority w:val="99"/>
    <w:semiHidden/>
    <w:unhideWhenUsed/>
    <w:rsid w:val="227E1361"/>
    <w:rPr>
      <w:rFonts w:ascii="Times" w:eastAsia="Times New Roman" w:hAnsi="Times" w:cs="Times New Roman"/>
      <w:sz w:val="20"/>
      <w:szCs w:val="20"/>
    </w:rPr>
  </w:style>
  <w:style w:type="character" w:customStyle="1" w:styleId="CommentTextChar">
    <w:name w:val="Comment Text Char"/>
    <w:basedOn w:val="DefaultParagraphFont"/>
    <w:link w:val="CommentText"/>
    <w:uiPriority w:val="99"/>
    <w:semiHidden/>
    <w:rsid w:val="227E1361"/>
    <w:rPr>
      <w:rFonts w:ascii="Times" w:eastAsia="Times New Roman" w:hAnsi="Times" w:cs="Times New Roman"/>
      <w:noProof w:val="0"/>
      <w:sz w:val="20"/>
      <w:szCs w:val="20"/>
      <w:lang w:val="es-EC"/>
    </w:rPr>
  </w:style>
  <w:style w:type="paragraph" w:styleId="Header">
    <w:name w:val="header"/>
    <w:basedOn w:val="Normal"/>
    <w:link w:val="HeaderChar"/>
    <w:uiPriority w:val="99"/>
    <w:unhideWhenUsed/>
    <w:rsid w:val="227E1361"/>
    <w:pPr>
      <w:tabs>
        <w:tab w:val="center" w:pos="4320"/>
        <w:tab w:val="right" w:pos="8640"/>
      </w:tabs>
    </w:pPr>
    <w:rPr>
      <w:rFonts w:ascii="Times" w:eastAsia="Times New Roman" w:hAnsi="Times" w:cs="Times New Roman"/>
      <w:sz w:val="24"/>
      <w:szCs w:val="24"/>
    </w:rPr>
  </w:style>
  <w:style w:type="character" w:customStyle="1" w:styleId="HeaderChar">
    <w:name w:val="Header Char"/>
    <w:basedOn w:val="DefaultParagraphFont"/>
    <w:link w:val="Header"/>
    <w:uiPriority w:val="99"/>
    <w:rsid w:val="227E1361"/>
    <w:rPr>
      <w:rFonts w:ascii="Times" w:eastAsia="Times New Roman" w:hAnsi="Times" w:cs="Times New Roman"/>
      <w:noProof w:val="0"/>
      <w:sz w:val="24"/>
      <w:szCs w:val="24"/>
      <w:lang w:val="es-EC"/>
    </w:rPr>
  </w:style>
  <w:style w:type="paragraph" w:styleId="Footer">
    <w:name w:val="footer"/>
    <w:basedOn w:val="Normal"/>
    <w:link w:val="FooterChar"/>
    <w:uiPriority w:val="99"/>
    <w:unhideWhenUsed/>
    <w:rsid w:val="227E1361"/>
    <w:pPr>
      <w:tabs>
        <w:tab w:val="center" w:pos="4320"/>
        <w:tab w:val="right" w:pos="8640"/>
      </w:tabs>
    </w:pPr>
    <w:rPr>
      <w:rFonts w:ascii="Times" w:eastAsia="Times New Roman" w:hAnsi="Times" w:cs="Times New Roman"/>
      <w:sz w:val="24"/>
      <w:szCs w:val="24"/>
    </w:rPr>
  </w:style>
  <w:style w:type="character" w:customStyle="1" w:styleId="FooterChar">
    <w:name w:val="Footer Char"/>
    <w:basedOn w:val="DefaultParagraphFont"/>
    <w:link w:val="Footer"/>
    <w:uiPriority w:val="99"/>
    <w:rsid w:val="227E1361"/>
    <w:rPr>
      <w:rFonts w:ascii="Times" w:eastAsia="Times New Roman" w:hAnsi="Times" w:cs="Times New Roman"/>
      <w:noProof w:val="0"/>
      <w:sz w:val="24"/>
      <w:szCs w:val="24"/>
      <w:lang w:val="es-EC"/>
    </w:rPr>
  </w:style>
  <w:style w:type="paragraph" w:styleId="EndnoteText">
    <w:name w:val="endnote text"/>
    <w:basedOn w:val="Normal"/>
    <w:link w:val="EndnoteTextChar"/>
    <w:uiPriority w:val="99"/>
    <w:semiHidden/>
    <w:unhideWhenUsed/>
    <w:rsid w:val="227E1361"/>
    <w:pPr>
      <w:widowControl w:val="0"/>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227E1361"/>
    <w:rPr>
      <w:rFonts w:ascii="Times New Roman" w:eastAsia="Times New Roman" w:hAnsi="Times New Roman" w:cs="Times New Roman"/>
      <w:noProof w:val="0"/>
      <w:sz w:val="24"/>
      <w:szCs w:val="24"/>
      <w:lang w:val="es-EC"/>
    </w:rPr>
  </w:style>
  <w:style w:type="paragraph" w:styleId="BodyText">
    <w:name w:val="Body Text"/>
    <w:basedOn w:val="Normal"/>
    <w:link w:val="BodyTextChar"/>
    <w:uiPriority w:val="99"/>
    <w:semiHidden/>
    <w:unhideWhenUsed/>
    <w:rsid w:val="227E1361"/>
    <w:pPr>
      <w:jc w:val="center"/>
    </w:pPr>
    <w:rPr>
      <w:rFonts w:ascii="Times" w:eastAsia="Times New Roman" w:hAnsi="Times" w:cs="Times New Roman"/>
      <w:sz w:val="24"/>
      <w:szCs w:val="24"/>
    </w:rPr>
  </w:style>
  <w:style w:type="character" w:customStyle="1" w:styleId="BodyTextChar">
    <w:name w:val="Body Text Char"/>
    <w:basedOn w:val="DefaultParagraphFont"/>
    <w:link w:val="BodyText"/>
    <w:uiPriority w:val="99"/>
    <w:semiHidden/>
    <w:rsid w:val="227E1361"/>
    <w:rPr>
      <w:rFonts w:ascii="Times" w:eastAsia="Times New Roman" w:hAnsi="Times" w:cs="Times New Roman"/>
      <w:noProof w:val="0"/>
      <w:sz w:val="24"/>
      <w:szCs w:val="24"/>
      <w:lang w:val="es-EC"/>
    </w:rPr>
  </w:style>
  <w:style w:type="paragraph" w:styleId="BodyTextIndent">
    <w:name w:val="Body Text Indent"/>
    <w:basedOn w:val="Normal"/>
    <w:link w:val="BodyTextIndentChar"/>
    <w:uiPriority w:val="99"/>
    <w:semiHidden/>
    <w:unhideWhenUsed/>
    <w:rsid w:val="227E1361"/>
    <w:pPr>
      <w:spacing w:after="120"/>
      <w:ind w:left="360"/>
    </w:pPr>
    <w:rPr>
      <w:rFonts w:ascii="Times" w:eastAsia="Times New Roman" w:hAnsi="Times" w:cs="Times New Roman"/>
      <w:sz w:val="24"/>
      <w:szCs w:val="24"/>
    </w:rPr>
  </w:style>
  <w:style w:type="character" w:customStyle="1" w:styleId="BodyTextIndentChar">
    <w:name w:val="Body Text Indent Char"/>
    <w:basedOn w:val="DefaultParagraphFont"/>
    <w:link w:val="BodyTextIndent"/>
    <w:uiPriority w:val="99"/>
    <w:semiHidden/>
    <w:rsid w:val="227E1361"/>
    <w:rPr>
      <w:rFonts w:ascii="Times" w:eastAsia="Times New Roman" w:hAnsi="Times" w:cs="Times New Roman"/>
      <w:noProof w:val="0"/>
      <w:sz w:val="24"/>
      <w:szCs w:val="24"/>
      <w:lang w:val="es-EC"/>
    </w:rPr>
  </w:style>
  <w:style w:type="paragraph" w:styleId="BodyText2">
    <w:name w:val="Body Text 2"/>
    <w:basedOn w:val="Normal"/>
    <w:link w:val="BodyText2Char"/>
    <w:uiPriority w:val="99"/>
    <w:semiHidden/>
    <w:unhideWhenUsed/>
    <w:rsid w:val="227E1361"/>
    <w:pPr>
      <w:spacing w:after="120"/>
    </w:pPr>
    <w:rPr>
      <w:rFonts w:ascii="Times" w:eastAsia="Times New Roman" w:hAnsi="Times" w:cs="Times New Roman"/>
      <w:sz w:val="24"/>
      <w:szCs w:val="24"/>
    </w:rPr>
  </w:style>
  <w:style w:type="character" w:customStyle="1" w:styleId="BodyText2Char">
    <w:name w:val="Body Text 2 Char"/>
    <w:basedOn w:val="DefaultParagraphFont"/>
    <w:link w:val="BodyText2"/>
    <w:uiPriority w:val="99"/>
    <w:semiHidden/>
    <w:rsid w:val="227E1361"/>
    <w:rPr>
      <w:rFonts w:ascii="Times" w:eastAsia="Times New Roman" w:hAnsi="Times" w:cs="Times New Roman"/>
      <w:noProof w:val="0"/>
      <w:sz w:val="24"/>
      <w:szCs w:val="24"/>
      <w:lang w:val="es-EC"/>
    </w:rPr>
  </w:style>
  <w:style w:type="paragraph" w:styleId="BodyTextIndent2">
    <w:name w:val="Body Text Indent 2"/>
    <w:basedOn w:val="Normal"/>
    <w:link w:val="BodyTextIndent2Char"/>
    <w:uiPriority w:val="99"/>
    <w:semiHidden/>
    <w:unhideWhenUsed/>
    <w:rsid w:val="227E1361"/>
    <w:pPr>
      <w:spacing w:after="120"/>
      <w:ind w:left="360"/>
    </w:pPr>
    <w:rPr>
      <w:rFonts w:ascii="Times" w:eastAsia="Times New Roman" w:hAnsi="Times" w:cs="Times New Roman"/>
      <w:sz w:val="24"/>
      <w:szCs w:val="24"/>
    </w:rPr>
  </w:style>
  <w:style w:type="character" w:customStyle="1" w:styleId="BodyTextIndent2Char">
    <w:name w:val="Body Text Indent 2 Char"/>
    <w:basedOn w:val="DefaultParagraphFont"/>
    <w:link w:val="BodyTextIndent2"/>
    <w:uiPriority w:val="99"/>
    <w:semiHidden/>
    <w:rsid w:val="227E1361"/>
    <w:rPr>
      <w:rFonts w:ascii="Times" w:eastAsia="Times New Roman" w:hAnsi="Times" w:cs="Times New Roman"/>
      <w:noProof w:val="0"/>
      <w:sz w:val="24"/>
      <w:szCs w:val="24"/>
      <w:lang w:val="es-EC"/>
    </w:rPr>
  </w:style>
  <w:style w:type="paragraph" w:styleId="BodyTextIndent3">
    <w:name w:val="Body Text Indent 3"/>
    <w:basedOn w:val="Normal"/>
    <w:link w:val="BodyTextIndent3Char"/>
    <w:uiPriority w:val="99"/>
    <w:semiHidden/>
    <w:unhideWhenUsed/>
    <w:rsid w:val="227E1361"/>
    <w:pPr>
      <w:spacing w:after="120"/>
      <w:ind w:left="360"/>
    </w:pPr>
    <w:rPr>
      <w:rFonts w:ascii="Times" w:eastAsia="Times New Roman" w:hAnsi="Times" w:cs="Times New Roman"/>
      <w:sz w:val="16"/>
      <w:szCs w:val="16"/>
    </w:rPr>
  </w:style>
  <w:style w:type="character" w:customStyle="1" w:styleId="BodyTextIndent3Char">
    <w:name w:val="Body Text Indent 3 Char"/>
    <w:basedOn w:val="DefaultParagraphFont"/>
    <w:link w:val="BodyTextIndent3"/>
    <w:uiPriority w:val="99"/>
    <w:semiHidden/>
    <w:rsid w:val="227E1361"/>
    <w:rPr>
      <w:rFonts w:ascii="Times" w:eastAsia="Times New Roman" w:hAnsi="Times" w:cs="Times New Roman"/>
      <w:noProof w:val="0"/>
      <w:sz w:val="16"/>
      <w:szCs w:val="16"/>
      <w:lang w:val="es-EC"/>
    </w:rPr>
  </w:style>
  <w:style w:type="paragraph" w:styleId="DocumentMap">
    <w:name w:val="Document Map"/>
    <w:basedOn w:val="Normal"/>
    <w:link w:val="DocumentMapChar"/>
    <w:uiPriority w:val="99"/>
    <w:semiHidden/>
    <w:unhideWhenUsed/>
    <w:rsid w:val="227E1361"/>
    <w:rPr>
      <w:rFonts w:ascii="Times New Roman" w:eastAsia="Times New Roman" w:hAnsi="Times New Roman" w:cs="Times New Roman"/>
      <w:sz w:val="2"/>
      <w:szCs w:val="2"/>
    </w:rPr>
  </w:style>
  <w:style w:type="character" w:customStyle="1" w:styleId="DocumentMapChar">
    <w:name w:val="Document Map Char"/>
    <w:basedOn w:val="DefaultParagraphFont"/>
    <w:link w:val="DocumentMap"/>
    <w:uiPriority w:val="99"/>
    <w:semiHidden/>
    <w:rsid w:val="227E1361"/>
    <w:rPr>
      <w:rFonts w:ascii="Times New Roman" w:eastAsia="Times New Roman" w:hAnsi="Times New Roman" w:cs="Times New Roman"/>
      <w:noProof w:val="0"/>
      <w:sz w:val="2"/>
      <w:szCs w:val="2"/>
      <w:lang w:val="es-EC"/>
    </w:rPr>
  </w:style>
  <w:style w:type="paragraph" w:styleId="PlainText">
    <w:name w:val="Plain Text"/>
    <w:basedOn w:val="Normal"/>
    <w:link w:val="PlainTextChar"/>
    <w:uiPriority w:val="99"/>
    <w:unhideWhenUsed/>
    <w:rsid w:val="227E1361"/>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227E1361"/>
    <w:rPr>
      <w:rFonts w:ascii="Courier New" w:eastAsia="Times New Roman" w:hAnsi="Courier New" w:cs="Times New Roman"/>
      <w:noProof w:val="0"/>
      <w:sz w:val="20"/>
      <w:szCs w:val="20"/>
      <w:lang w:val="es-EC"/>
    </w:rPr>
  </w:style>
  <w:style w:type="paragraph" w:styleId="CommentSubject">
    <w:name w:val="annotation subject"/>
    <w:basedOn w:val="CommentText"/>
    <w:next w:val="CommentText"/>
    <w:link w:val="CommentSubjectChar"/>
    <w:uiPriority w:val="99"/>
    <w:semiHidden/>
    <w:unhideWhenUsed/>
    <w:rsid w:val="227E1361"/>
    <w:rPr>
      <w:b/>
      <w:bCs/>
    </w:rPr>
  </w:style>
  <w:style w:type="character" w:customStyle="1" w:styleId="CommentSubjectChar">
    <w:name w:val="Comment Subject Char"/>
    <w:basedOn w:val="CommentTextChar"/>
    <w:link w:val="CommentSubject"/>
    <w:uiPriority w:val="99"/>
    <w:semiHidden/>
    <w:rsid w:val="227E1361"/>
    <w:rPr>
      <w:rFonts w:ascii="Times" w:eastAsia="Times New Roman" w:hAnsi="Times" w:cs="Times New Roman"/>
      <w:b/>
      <w:bCs/>
      <w:noProof w:val="0"/>
      <w:sz w:val="20"/>
      <w:szCs w:val="20"/>
      <w:lang w:val="es-EC"/>
    </w:rPr>
  </w:style>
  <w:style w:type="paragraph" w:styleId="BalloonText">
    <w:name w:val="Balloon Text"/>
    <w:basedOn w:val="Normal"/>
    <w:link w:val="BalloonTextChar"/>
    <w:uiPriority w:val="99"/>
    <w:semiHidden/>
    <w:unhideWhenUsed/>
    <w:rsid w:val="227E1361"/>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rsid w:val="227E1361"/>
    <w:rPr>
      <w:rFonts w:ascii="Times New Roman" w:eastAsia="Times New Roman" w:hAnsi="Times New Roman" w:cs="Times New Roman"/>
      <w:noProof w:val="0"/>
      <w:sz w:val="20"/>
      <w:szCs w:val="20"/>
      <w:lang w:val="es-EC"/>
    </w:rPr>
  </w:style>
  <w:style w:type="paragraph" w:styleId="Revision">
    <w:name w:val="Revision"/>
    <w:uiPriority w:val="99"/>
    <w:semiHidden/>
    <w:rsid w:val="00CF204E"/>
    <w:pPr>
      <w:spacing w:after="0" w:line="240" w:lineRule="auto"/>
    </w:pPr>
    <w:rPr>
      <w:rFonts w:ascii="Times" w:eastAsia="Times New Roman" w:hAnsi="Times" w:cs="Times New Roman"/>
      <w:sz w:val="24"/>
      <w:szCs w:val="20"/>
    </w:rPr>
  </w:style>
  <w:style w:type="paragraph" w:styleId="ListParagraph">
    <w:name w:val="List Paragraph"/>
    <w:basedOn w:val="Normal"/>
    <w:uiPriority w:val="34"/>
    <w:qFormat/>
    <w:rsid w:val="227E1361"/>
    <w:pPr>
      <w:ind w:left="720"/>
      <w:contextualSpacing/>
    </w:pPr>
  </w:style>
  <w:style w:type="paragraph" w:styleId="TOCHeading">
    <w:name w:val="TOC Heading"/>
    <w:basedOn w:val="Heading1"/>
    <w:next w:val="Normal"/>
    <w:uiPriority w:val="39"/>
    <w:unhideWhenUsed/>
    <w:qFormat/>
    <w:rsid w:val="227E1361"/>
  </w:style>
  <w:style w:type="paragraph" w:customStyle="1" w:styleId="body1">
    <w:name w:val="body 1"/>
    <w:uiPriority w:val="99"/>
    <w:rsid w:val="00CF204E"/>
    <w:pPr>
      <w:widowControl w:val="0"/>
      <w:autoSpaceDE w:val="0"/>
      <w:autoSpaceDN w:val="0"/>
      <w:spacing w:after="115" w:line="235" w:lineRule="exact"/>
    </w:pPr>
    <w:rPr>
      <w:rFonts w:ascii="Arial Narrow" w:eastAsia="Times New Roman" w:hAnsi="Arial Narrow" w:cs="Times New Roman"/>
      <w:sz w:val="20"/>
      <w:szCs w:val="24"/>
    </w:rPr>
  </w:style>
  <w:style w:type="paragraph" w:customStyle="1" w:styleId="bodyformat">
    <w:name w:val="body format"/>
    <w:basedOn w:val="Normal"/>
    <w:uiPriority w:val="99"/>
    <w:rsid w:val="227E1361"/>
    <w:pPr>
      <w:tabs>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Pr>
      <w:rFonts w:ascii="Times New Roman" w:eastAsia="Times New Roman" w:hAnsi="Times New Roman" w:cs="Times New Roman"/>
    </w:rPr>
  </w:style>
  <w:style w:type="paragraph" w:customStyle="1" w:styleId="QCSHeader1">
    <w:name w:val="QCS Header 1"/>
    <w:basedOn w:val="Header"/>
    <w:uiPriority w:val="99"/>
    <w:rsid w:val="227E1361"/>
    <w:rPr>
      <w:rFonts w:ascii="Tahoma" w:hAnsi="Tahoma" w:cs="Tahoma"/>
      <w:sz w:val="40"/>
      <w:szCs w:val="40"/>
    </w:rPr>
  </w:style>
  <w:style w:type="paragraph" w:customStyle="1" w:styleId="QCSHeader2">
    <w:name w:val="QCS Header 2"/>
    <w:basedOn w:val="Header"/>
    <w:uiPriority w:val="99"/>
    <w:rsid w:val="227E1361"/>
    <w:pPr>
      <w:spacing w:after="120"/>
    </w:pPr>
    <w:rPr>
      <w:rFonts w:ascii="Tahoma" w:hAnsi="Tahoma" w:cs="Tahoma"/>
      <w:b/>
      <w:bCs/>
    </w:rPr>
  </w:style>
  <w:style w:type="paragraph" w:customStyle="1" w:styleId="QCSHeader3">
    <w:name w:val="QCS Header 3"/>
    <w:basedOn w:val="Header"/>
    <w:uiPriority w:val="99"/>
    <w:rsid w:val="227E1361"/>
    <w:pPr>
      <w:numPr>
        <w:ilvl w:val="1"/>
        <w:numId w:val="4"/>
      </w:numPr>
    </w:pPr>
    <w:rPr>
      <w:rFonts w:ascii="Tahoma" w:hAnsi="Tahoma" w:cs="Tahoma"/>
      <w:b/>
      <w:bCs/>
      <w:color w:val="000000" w:themeColor="text1"/>
    </w:rPr>
  </w:style>
  <w:style w:type="paragraph" w:customStyle="1" w:styleId="Default">
    <w:name w:val="Default"/>
    <w:uiPriority w:val="99"/>
    <w:rsid w:val="00CF2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otnoteReference">
    <w:name w:val="footnote reference"/>
    <w:uiPriority w:val="99"/>
    <w:semiHidden/>
    <w:unhideWhenUsed/>
    <w:rsid w:val="00CF204E"/>
    <w:rPr>
      <w:rFonts w:ascii="Times New Roman" w:hAnsi="Times New Roman" w:cs="Times New Roman" w:hint="default"/>
      <w:vertAlign w:val="superscript"/>
    </w:rPr>
  </w:style>
  <w:style w:type="character" w:styleId="CommentReference">
    <w:name w:val="annotation reference"/>
    <w:uiPriority w:val="99"/>
    <w:semiHidden/>
    <w:unhideWhenUsed/>
    <w:rsid w:val="00CF204E"/>
    <w:rPr>
      <w:rFonts w:ascii="Times New Roman" w:hAnsi="Times New Roman" w:cs="Times New Roman" w:hint="default"/>
      <w:sz w:val="16"/>
      <w:szCs w:val="16"/>
    </w:rPr>
  </w:style>
  <w:style w:type="character" w:styleId="PageNumber">
    <w:name w:val="page number"/>
    <w:uiPriority w:val="99"/>
    <w:semiHidden/>
    <w:unhideWhenUsed/>
    <w:rsid w:val="00CF204E"/>
    <w:rPr>
      <w:rFonts w:ascii="Times New Roman" w:hAnsi="Times New Roman" w:cs="Times New Roman" w:hint="default"/>
    </w:rPr>
  </w:style>
  <w:style w:type="character" w:customStyle="1" w:styleId="updatebodytest">
    <w:name w:val="updatebodytest"/>
    <w:uiPriority w:val="99"/>
    <w:rsid w:val="00CF204E"/>
    <w:rPr>
      <w:rFonts w:ascii="Times New Roman" w:hAnsi="Times New Roman" w:cs="Times New Roman" w:hint="default"/>
    </w:rPr>
  </w:style>
  <w:style w:type="character" w:customStyle="1" w:styleId="apple-converted-space">
    <w:name w:val="apple-converted-space"/>
    <w:basedOn w:val="DefaultParagraphFont"/>
    <w:rsid w:val="00DF2F0D"/>
  </w:style>
  <w:style w:type="character" w:customStyle="1" w:styleId="Heading4Char">
    <w:name w:val="Heading 4 Char"/>
    <w:aliases w:val="Heading lvl 3 Char"/>
    <w:basedOn w:val="DefaultParagraphFont"/>
    <w:link w:val="Heading4"/>
    <w:uiPriority w:val="9"/>
    <w:rsid w:val="00EC0EFE"/>
    <w:rPr>
      <w:rFonts w:asciiTheme="majorHAnsi" w:eastAsiaTheme="majorEastAsia" w:hAnsiTheme="majorHAnsi" w:cstheme="majorBidi"/>
      <w:sz w:val="24"/>
      <w:szCs w:val="24"/>
      <w:u w:val="single"/>
      <w:lang w:val="es-EC"/>
    </w:rPr>
  </w:style>
  <w:style w:type="character" w:customStyle="1" w:styleId="Heading6Char">
    <w:name w:val="Heading 6 Char"/>
    <w:basedOn w:val="DefaultParagraphFont"/>
    <w:link w:val="Heading6"/>
    <w:uiPriority w:val="9"/>
    <w:semiHidden/>
    <w:rsid w:val="227E1361"/>
    <w:rPr>
      <w:rFonts w:asciiTheme="majorHAnsi" w:eastAsiaTheme="majorEastAsia" w:hAnsiTheme="majorHAnsi" w:cstheme="majorBidi"/>
      <w:i/>
      <w:iCs/>
      <w:caps/>
      <w:noProof w:val="0"/>
      <w:color w:val="1F4E79" w:themeColor="accent1" w:themeShade="80"/>
      <w:lang w:val="es-EC"/>
    </w:rPr>
  </w:style>
  <w:style w:type="character" w:customStyle="1" w:styleId="Heading7Char">
    <w:name w:val="Heading 7 Char"/>
    <w:basedOn w:val="DefaultParagraphFont"/>
    <w:link w:val="Heading7"/>
    <w:uiPriority w:val="9"/>
    <w:semiHidden/>
    <w:rsid w:val="227E1361"/>
    <w:rPr>
      <w:rFonts w:asciiTheme="majorHAnsi" w:eastAsiaTheme="majorEastAsia" w:hAnsiTheme="majorHAnsi" w:cstheme="majorBidi"/>
      <w:b/>
      <w:bCs/>
      <w:noProof w:val="0"/>
      <w:color w:val="1F4E79" w:themeColor="accent1" w:themeShade="80"/>
      <w:lang w:val="es-EC"/>
    </w:rPr>
  </w:style>
  <w:style w:type="character" w:customStyle="1" w:styleId="Heading8Char">
    <w:name w:val="Heading 8 Char"/>
    <w:basedOn w:val="DefaultParagraphFont"/>
    <w:link w:val="Heading8"/>
    <w:uiPriority w:val="9"/>
    <w:semiHidden/>
    <w:rsid w:val="227E1361"/>
    <w:rPr>
      <w:rFonts w:asciiTheme="majorHAnsi" w:eastAsiaTheme="majorEastAsia" w:hAnsiTheme="majorHAnsi" w:cstheme="majorBidi"/>
      <w:b/>
      <w:bCs/>
      <w:i/>
      <w:iCs/>
      <w:noProof w:val="0"/>
      <w:color w:val="1F4E79" w:themeColor="accent1" w:themeShade="80"/>
      <w:lang w:val="es-EC"/>
    </w:rPr>
  </w:style>
  <w:style w:type="character" w:customStyle="1" w:styleId="Heading9Char">
    <w:name w:val="Heading 9 Char"/>
    <w:basedOn w:val="DefaultParagraphFont"/>
    <w:link w:val="Heading9"/>
    <w:uiPriority w:val="9"/>
    <w:semiHidden/>
    <w:rsid w:val="227E1361"/>
    <w:rPr>
      <w:rFonts w:asciiTheme="majorHAnsi" w:eastAsiaTheme="majorEastAsia" w:hAnsiTheme="majorHAnsi" w:cstheme="majorBidi"/>
      <w:i/>
      <w:iCs/>
      <w:noProof w:val="0"/>
      <w:color w:val="1F4E79" w:themeColor="accent1" w:themeShade="80"/>
      <w:lang w:val="es-EC"/>
    </w:rPr>
  </w:style>
  <w:style w:type="paragraph" w:styleId="Caption">
    <w:name w:val="caption"/>
    <w:basedOn w:val="Normal"/>
    <w:next w:val="Normal"/>
    <w:uiPriority w:val="35"/>
    <w:semiHidden/>
    <w:unhideWhenUsed/>
    <w:qFormat/>
    <w:rsid w:val="227E1361"/>
    <w:rPr>
      <w:b/>
      <w:bCs/>
      <w:smallCaps/>
      <w:color w:val="44546A" w:themeColor="text2"/>
    </w:rPr>
  </w:style>
  <w:style w:type="paragraph" w:styleId="Title">
    <w:name w:val="Title"/>
    <w:basedOn w:val="Normal"/>
    <w:next w:val="Normal"/>
    <w:link w:val="TitleChar"/>
    <w:uiPriority w:val="10"/>
    <w:qFormat/>
    <w:rsid w:val="227E1361"/>
    <w:pPr>
      <w:contextualSpacing/>
    </w:pPr>
    <w:rPr>
      <w:rFonts w:asciiTheme="majorHAnsi" w:eastAsiaTheme="majorEastAsia" w:hAnsiTheme="majorHAnsi" w:cstheme="majorBidi"/>
      <w:caps/>
      <w:color w:val="44546A" w:themeColor="text2"/>
      <w:sz w:val="72"/>
      <w:szCs w:val="72"/>
    </w:rPr>
  </w:style>
  <w:style w:type="character" w:customStyle="1" w:styleId="TitleChar">
    <w:name w:val="Title Char"/>
    <w:basedOn w:val="DefaultParagraphFont"/>
    <w:link w:val="Title"/>
    <w:uiPriority w:val="10"/>
    <w:rsid w:val="227E1361"/>
    <w:rPr>
      <w:rFonts w:asciiTheme="majorHAnsi" w:eastAsiaTheme="majorEastAsia" w:hAnsiTheme="majorHAnsi" w:cstheme="majorBidi"/>
      <w:caps/>
      <w:noProof w:val="0"/>
      <w:color w:val="44546A" w:themeColor="text2"/>
      <w:sz w:val="72"/>
      <w:szCs w:val="72"/>
      <w:lang w:val="es-EC"/>
    </w:rPr>
  </w:style>
  <w:style w:type="paragraph" w:styleId="Subtitle">
    <w:name w:val="Subtitle"/>
    <w:basedOn w:val="Normal"/>
    <w:next w:val="Normal"/>
    <w:link w:val="SubtitleChar"/>
    <w:uiPriority w:val="11"/>
    <w:qFormat/>
    <w:rsid w:val="227E1361"/>
    <w:p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227E1361"/>
    <w:rPr>
      <w:rFonts w:asciiTheme="majorHAnsi" w:eastAsiaTheme="majorEastAsia" w:hAnsiTheme="majorHAnsi" w:cstheme="majorBidi"/>
      <w:noProof w:val="0"/>
      <w:color w:val="5B9BD5" w:themeColor="accent1"/>
      <w:sz w:val="28"/>
      <w:szCs w:val="28"/>
      <w:lang w:val="es-EC"/>
    </w:rPr>
  </w:style>
  <w:style w:type="character" w:styleId="Strong">
    <w:name w:val="Strong"/>
    <w:basedOn w:val="DefaultParagraphFont"/>
    <w:uiPriority w:val="22"/>
    <w:qFormat/>
    <w:rsid w:val="00A60D78"/>
    <w:rPr>
      <w:b/>
      <w:bCs/>
    </w:rPr>
  </w:style>
  <w:style w:type="character" w:styleId="Emphasis">
    <w:name w:val="Emphasis"/>
    <w:basedOn w:val="DefaultParagraphFont"/>
    <w:uiPriority w:val="20"/>
    <w:qFormat/>
    <w:rsid w:val="00A60D78"/>
    <w:rPr>
      <w:i/>
      <w:iCs/>
    </w:rPr>
  </w:style>
  <w:style w:type="paragraph" w:styleId="NoSpacing">
    <w:name w:val="No Spacing"/>
    <w:uiPriority w:val="1"/>
    <w:qFormat/>
    <w:rsid w:val="00A60D78"/>
    <w:pPr>
      <w:spacing w:after="0" w:line="240" w:lineRule="auto"/>
    </w:pPr>
  </w:style>
  <w:style w:type="paragraph" w:styleId="Quote">
    <w:name w:val="Quote"/>
    <w:basedOn w:val="Normal"/>
    <w:next w:val="Normal"/>
    <w:link w:val="QuoteChar"/>
    <w:uiPriority w:val="29"/>
    <w:qFormat/>
    <w:rsid w:val="227E136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227E1361"/>
    <w:rPr>
      <w:noProof w:val="0"/>
      <w:color w:val="44546A" w:themeColor="text2"/>
      <w:sz w:val="24"/>
      <w:szCs w:val="24"/>
      <w:lang w:val="es-EC"/>
    </w:rPr>
  </w:style>
  <w:style w:type="paragraph" w:styleId="IntenseQuote">
    <w:name w:val="Intense Quote"/>
    <w:basedOn w:val="Normal"/>
    <w:next w:val="Normal"/>
    <w:link w:val="IntenseQuoteChar"/>
    <w:uiPriority w:val="30"/>
    <w:qFormat/>
    <w:rsid w:val="227E1361"/>
    <w:pPr>
      <w:spacing w:beforeAutospacing="1" w:after="240"/>
      <w:ind w:left="720"/>
      <w:jc w:val="center"/>
    </w:pPr>
    <w:rPr>
      <w:rFonts w:asciiTheme="majorHAnsi" w:eastAsiaTheme="majorEastAsia" w:hAnsiTheme="majorHAnsi" w:cstheme="majorBidi"/>
      <w:color w:val="44546A" w:themeColor="text2"/>
      <w:sz w:val="32"/>
      <w:szCs w:val="32"/>
    </w:rPr>
  </w:style>
  <w:style w:type="character" w:customStyle="1" w:styleId="IntenseQuoteChar">
    <w:name w:val="Intense Quote Char"/>
    <w:basedOn w:val="DefaultParagraphFont"/>
    <w:link w:val="IntenseQuote"/>
    <w:uiPriority w:val="30"/>
    <w:rsid w:val="227E1361"/>
    <w:rPr>
      <w:rFonts w:asciiTheme="majorHAnsi" w:eastAsiaTheme="majorEastAsia" w:hAnsiTheme="majorHAnsi" w:cstheme="majorBidi"/>
      <w:noProof w:val="0"/>
      <w:color w:val="44546A" w:themeColor="text2"/>
      <w:sz w:val="32"/>
      <w:szCs w:val="32"/>
      <w:lang w:val="es-EC"/>
    </w:rPr>
  </w:style>
  <w:style w:type="character" w:styleId="SubtleEmphasis">
    <w:name w:val="Subtle Emphasis"/>
    <w:basedOn w:val="DefaultParagraphFont"/>
    <w:uiPriority w:val="19"/>
    <w:qFormat/>
    <w:rsid w:val="00A60D78"/>
    <w:rPr>
      <w:i/>
      <w:iCs/>
      <w:color w:val="595959" w:themeColor="text1" w:themeTint="A6"/>
    </w:rPr>
  </w:style>
  <w:style w:type="character" w:styleId="IntenseEmphasis">
    <w:name w:val="Intense Emphasis"/>
    <w:basedOn w:val="DefaultParagraphFont"/>
    <w:uiPriority w:val="21"/>
    <w:qFormat/>
    <w:rsid w:val="00A60D78"/>
    <w:rPr>
      <w:b/>
      <w:bCs/>
      <w:i/>
      <w:iCs/>
    </w:rPr>
  </w:style>
  <w:style w:type="character" w:styleId="SubtleReference">
    <w:name w:val="Subtle Reference"/>
    <w:basedOn w:val="DefaultParagraphFont"/>
    <w:uiPriority w:val="31"/>
    <w:qFormat/>
    <w:rsid w:val="00A60D7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60D78"/>
    <w:rPr>
      <w:b/>
      <w:bCs/>
      <w:smallCaps/>
      <w:color w:val="44546A" w:themeColor="text2"/>
      <w:u w:val="single"/>
    </w:rPr>
  </w:style>
  <w:style w:type="character" w:styleId="BookTitle">
    <w:name w:val="Book Title"/>
    <w:basedOn w:val="DefaultParagraphFont"/>
    <w:uiPriority w:val="33"/>
    <w:qFormat/>
    <w:rsid w:val="00A60D78"/>
    <w:rPr>
      <w:b/>
      <w:bCs/>
      <w:smallCaps/>
      <w:spacing w:val="10"/>
    </w:rPr>
  </w:style>
  <w:style w:type="table" w:styleId="TableGrid">
    <w:name w:val="Table Grid"/>
    <w:basedOn w:val="TableNormal"/>
    <w:uiPriority w:val="59"/>
    <w:rsid w:val="00135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1D3F40"/>
    <w:rPr>
      <w:vertAlign w:val="superscript"/>
    </w:rPr>
  </w:style>
  <w:style w:type="character" w:customStyle="1" w:styleId="UnresolvedMention1">
    <w:name w:val="Unresolved Mention1"/>
    <w:basedOn w:val="DefaultParagraphFont"/>
    <w:uiPriority w:val="99"/>
    <w:semiHidden/>
    <w:unhideWhenUsed/>
    <w:rsid w:val="002E4384"/>
    <w:rPr>
      <w:color w:val="605E5C"/>
      <w:shd w:val="clear" w:color="auto" w:fill="E1DFDD"/>
    </w:rPr>
  </w:style>
  <w:style w:type="character" w:styleId="PlaceholderText">
    <w:name w:val="Placeholder Text"/>
    <w:basedOn w:val="DefaultParagraphFont"/>
    <w:uiPriority w:val="99"/>
    <w:semiHidden/>
    <w:rsid w:val="00A573AD"/>
    <w:rPr>
      <w:color w:val="808080"/>
    </w:rPr>
  </w:style>
  <w:style w:type="character" w:customStyle="1" w:styleId="jlqj4b">
    <w:name w:val="jlqj4b"/>
    <w:basedOn w:val="DefaultParagraphFont"/>
    <w:rsid w:val="00EF2CE3"/>
  </w:style>
  <w:style w:type="character" w:customStyle="1" w:styleId="viiyi">
    <w:name w:val="viiyi"/>
    <w:basedOn w:val="DefaultParagraphFont"/>
    <w:rsid w:val="00275269"/>
  </w:style>
  <w:style w:type="paragraph" w:styleId="HTMLPreformatted">
    <w:name w:val="HTML Preformatted"/>
    <w:basedOn w:val="Normal"/>
    <w:link w:val="HTMLPreformattedChar"/>
    <w:uiPriority w:val="99"/>
    <w:semiHidden/>
    <w:unhideWhenUsed/>
    <w:rsid w:val="227E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227E1361"/>
    <w:rPr>
      <w:rFonts w:ascii="Courier New" w:eastAsia="Times New Roman" w:hAnsi="Courier New" w:cs="Courier New"/>
      <w:noProof w:val="0"/>
      <w:sz w:val="20"/>
      <w:szCs w:val="20"/>
      <w:lang w:val="es-EC"/>
    </w:rPr>
  </w:style>
  <w:style w:type="character" w:customStyle="1" w:styleId="y2iqfc">
    <w:name w:val="y2iqfc"/>
    <w:basedOn w:val="DefaultParagraphFont"/>
    <w:rsid w:val="00490AA8"/>
  </w:style>
  <w:style w:type="character" w:styleId="UnresolvedMention">
    <w:name w:val="Unresolved Mention"/>
    <w:basedOn w:val="DefaultParagraphFont"/>
    <w:uiPriority w:val="99"/>
    <w:semiHidden/>
    <w:unhideWhenUsed/>
    <w:rsid w:val="00306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3635">
      <w:bodyDiv w:val="1"/>
      <w:marLeft w:val="0"/>
      <w:marRight w:val="0"/>
      <w:marTop w:val="0"/>
      <w:marBottom w:val="0"/>
      <w:divBdr>
        <w:top w:val="none" w:sz="0" w:space="0" w:color="auto"/>
        <w:left w:val="none" w:sz="0" w:space="0" w:color="auto"/>
        <w:bottom w:val="none" w:sz="0" w:space="0" w:color="auto"/>
        <w:right w:val="none" w:sz="0" w:space="0" w:color="auto"/>
      </w:divBdr>
      <w:divsChild>
        <w:div w:id="332954865">
          <w:marLeft w:val="0"/>
          <w:marRight w:val="0"/>
          <w:marTop w:val="0"/>
          <w:marBottom w:val="0"/>
          <w:divBdr>
            <w:top w:val="none" w:sz="0" w:space="0" w:color="auto"/>
            <w:left w:val="none" w:sz="0" w:space="0" w:color="auto"/>
            <w:bottom w:val="none" w:sz="0" w:space="0" w:color="auto"/>
            <w:right w:val="none" w:sz="0" w:space="0" w:color="auto"/>
          </w:divBdr>
          <w:divsChild>
            <w:div w:id="406615496">
              <w:marLeft w:val="0"/>
              <w:marRight w:val="0"/>
              <w:marTop w:val="0"/>
              <w:marBottom w:val="0"/>
              <w:divBdr>
                <w:top w:val="none" w:sz="0" w:space="0" w:color="auto"/>
                <w:left w:val="none" w:sz="0" w:space="0" w:color="auto"/>
                <w:bottom w:val="none" w:sz="0" w:space="0" w:color="auto"/>
                <w:right w:val="none" w:sz="0" w:space="0" w:color="auto"/>
              </w:divBdr>
              <w:divsChild>
                <w:div w:id="431054622">
                  <w:marLeft w:val="0"/>
                  <w:marRight w:val="0"/>
                  <w:marTop w:val="0"/>
                  <w:marBottom w:val="0"/>
                  <w:divBdr>
                    <w:top w:val="none" w:sz="0" w:space="0" w:color="auto"/>
                    <w:left w:val="none" w:sz="0" w:space="0" w:color="auto"/>
                    <w:bottom w:val="none" w:sz="0" w:space="0" w:color="auto"/>
                    <w:right w:val="none" w:sz="0" w:space="0" w:color="auto"/>
                  </w:divBdr>
                  <w:divsChild>
                    <w:div w:id="1388794413">
                      <w:marLeft w:val="0"/>
                      <w:marRight w:val="0"/>
                      <w:marTop w:val="0"/>
                      <w:marBottom w:val="0"/>
                      <w:divBdr>
                        <w:top w:val="none" w:sz="0" w:space="0" w:color="auto"/>
                        <w:left w:val="none" w:sz="0" w:space="0" w:color="auto"/>
                        <w:bottom w:val="none" w:sz="0" w:space="0" w:color="auto"/>
                        <w:right w:val="none" w:sz="0" w:space="0" w:color="auto"/>
                      </w:divBdr>
                      <w:divsChild>
                        <w:div w:id="76827969">
                          <w:marLeft w:val="0"/>
                          <w:marRight w:val="0"/>
                          <w:marTop w:val="0"/>
                          <w:marBottom w:val="0"/>
                          <w:divBdr>
                            <w:top w:val="none" w:sz="0" w:space="0" w:color="auto"/>
                            <w:left w:val="none" w:sz="0" w:space="0" w:color="auto"/>
                            <w:bottom w:val="none" w:sz="0" w:space="0" w:color="auto"/>
                            <w:right w:val="none" w:sz="0" w:space="0" w:color="auto"/>
                          </w:divBdr>
                          <w:divsChild>
                            <w:div w:id="1052270372">
                              <w:marLeft w:val="0"/>
                              <w:marRight w:val="300"/>
                              <w:marTop w:val="180"/>
                              <w:marBottom w:val="0"/>
                              <w:divBdr>
                                <w:top w:val="none" w:sz="0" w:space="0" w:color="auto"/>
                                <w:left w:val="none" w:sz="0" w:space="0" w:color="auto"/>
                                <w:bottom w:val="none" w:sz="0" w:space="0" w:color="auto"/>
                                <w:right w:val="none" w:sz="0" w:space="0" w:color="auto"/>
                              </w:divBdr>
                              <w:divsChild>
                                <w:div w:id="8354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439398">
          <w:marLeft w:val="0"/>
          <w:marRight w:val="0"/>
          <w:marTop w:val="0"/>
          <w:marBottom w:val="0"/>
          <w:divBdr>
            <w:top w:val="none" w:sz="0" w:space="0" w:color="auto"/>
            <w:left w:val="none" w:sz="0" w:space="0" w:color="auto"/>
            <w:bottom w:val="none" w:sz="0" w:space="0" w:color="auto"/>
            <w:right w:val="none" w:sz="0" w:space="0" w:color="auto"/>
          </w:divBdr>
          <w:divsChild>
            <w:div w:id="187715575">
              <w:marLeft w:val="0"/>
              <w:marRight w:val="0"/>
              <w:marTop w:val="0"/>
              <w:marBottom w:val="0"/>
              <w:divBdr>
                <w:top w:val="none" w:sz="0" w:space="0" w:color="auto"/>
                <w:left w:val="none" w:sz="0" w:space="0" w:color="auto"/>
                <w:bottom w:val="none" w:sz="0" w:space="0" w:color="auto"/>
                <w:right w:val="none" w:sz="0" w:space="0" w:color="auto"/>
              </w:divBdr>
              <w:divsChild>
                <w:div w:id="1627466341">
                  <w:marLeft w:val="0"/>
                  <w:marRight w:val="0"/>
                  <w:marTop w:val="0"/>
                  <w:marBottom w:val="0"/>
                  <w:divBdr>
                    <w:top w:val="none" w:sz="0" w:space="0" w:color="auto"/>
                    <w:left w:val="none" w:sz="0" w:space="0" w:color="auto"/>
                    <w:bottom w:val="none" w:sz="0" w:space="0" w:color="auto"/>
                    <w:right w:val="none" w:sz="0" w:space="0" w:color="auto"/>
                  </w:divBdr>
                  <w:divsChild>
                    <w:div w:id="1282608939">
                      <w:marLeft w:val="0"/>
                      <w:marRight w:val="0"/>
                      <w:marTop w:val="0"/>
                      <w:marBottom w:val="0"/>
                      <w:divBdr>
                        <w:top w:val="none" w:sz="0" w:space="0" w:color="auto"/>
                        <w:left w:val="none" w:sz="0" w:space="0" w:color="auto"/>
                        <w:bottom w:val="none" w:sz="0" w:space="0" w:color="auto"/>
                        <w:right w:val="none" w:sz="0" w:space="0" w:color="auto"/>
                      </w:divBdr>
                      <w:divsChild>
                        <w:div w:id="13307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6429">
      <w:bodyDiv w:val="1"/>
      <w:marLeft w:val="0"/>
      <w:marRight w:val="0"/>
      <w:marTop w:val="0"/>
      <w:marBottom w:val="0"/>
      <w:divBdr>
        <w:top w:val="none" w:sz="0" w:space="0" w:color="auto"/>
        <w:left w:val="none" w:sz="0" w:space="0" w:color="auto"/>
        <w:bottom w:val="none" w:sz="0" w:space="0" w:color="auto"/>
        <w:right w:val="none" w:sz="0" w:space="0" w:color="auto"/>
      </w:divBdr>
    </w:div>
    <w:div w:id="175078092">
      <w:bodyDiv w:val="1"/>
      <w:marLeft w:val="0"/>
      <w:marRight w:val="0"/>
      <w:marTop w:val="0"/>
      <w:marBottom w:val="0"/>
      <w:divBdr>
        <w:top w:val="none" w:sz="0" w:space="0" w:color="auto"/>
        <w:left w:val="none" w:sz="0" w:space="0" w:color="auto"/>
        <w:bottom w:val="none" w:sz="0" w:space="0" w:color="auto"/>
        <w:right w:val="none" w:sz="0" w:space="0" w:color="auto"/>
      </w:divBdr>
      <w:divsChild>
        <w:div w:id="726681502">
          <w:marLeft w:val="0"/>
          <w:marRight w:val="0"/>
          <w:marTop w:val="0"/>
          <w:marBottom w:val="0"/>
          <w:divBdr>
            <w:top w:val="none" w:sz="0" w:space="0" w:color="auto"/>
            <w:left w:val="none" w:sz="0" w:space="0" w:color="auto"/>
            <w:bottom w:val="none" w:sz="0" w:space="0" w:color="auto"/>
            <w:right w:val="none" w:sz="0" w:space="0" w:color="auto"/>
          </w:divBdr>
          <w:divsChild>
            <w:div w:id="90707947">
              <w:marLeft w:val="0"/>
              <w:marRight w:val="0"/>
              <w:marTop w:val="0"/>
              <w:marBottom w:val="0"/>
              <w:divBdr>
                <w:top w:val="none" w:sz="0" w:space="0" w:color="auto"/>
                <w:left w:val="none" w:sz="0" w:space="0" w:color="auto"/>
                <w:bottom w:val="none" w:sz="0" w:space="0" w:color="auto"/>
                <w:right w:val="none" w:sz="0" w:space="0" w:color="auto"/>
              </w:divBdr>
              <w:divsChild>
                <w:div w:id="1446466883">
                  <w:marLeft w:val="0"/>
                  <w:marRight w:val="0"/>
                  <w:marTop w:val="0"/>
                  <w:marBottom w:val="0"/>
                  <w:divBdr>
                    <w:top w:val="none" w:sz="0" w:space="0" w:color="auto"/>
                    <w:left w:val="none" w:sz="0" w:space="0" w:color="auto"/>
                    <w:bottom w:val="none" w:sz="0" w:space="0" w:color="auto"/>
                    <w:right w:val="none" w:sz="0" w:space="0" w:color="auto"/>
                  </w:divBdr>
                  <w:divsChild>
                    <w:div w:id="579943677">
                      <w:marLeft w:val="0"/>
                      <w:marRight w:val="0"/>
                      <w:marTop w:val="0"/>
                      <w:marBottom w:val="0"/>
                      <w:divBdr>
                        <w:top w:val="none" w:sz="0" w:space="0" w:color="auto"/>
                        <w:left w:val="none" w:sz="0" w:space="0" w:color="auto"/>
                        <w:bottom w:val="none" w:sz="0" w:space="0" w:color="auto"/>
                        <w:right w:val="none" w:sz="0" w:space="0" w:color="auto"/>
                      </w:divBdr>
                      <w:divsChild>
                        <w:div w:id="1474979214">
                          <w:marLeft w:val="0"/>
                          <w:marRight w:val="0"/>
                          <w:marTop w:val="0"/>
                          <w:marBottom w:val="0"/>
                          <w:divBdr>
                            <w:top w:val="none" w:sz="0" w:space="0" w:color="auto"/>
                            <w:left w:val="none" w:sz="0" w:space="0" w:color="auto"/>
                            <w:bottom w:val="none" w:sz="0" w:space="0" w:color="auto"/>
                            <w:right w:val="none" w:sz="0" w:space="0" w:color="auto"/>
                          </w:divBdr>
                          <w:divsChild>
                            <w:div w:id="972491565">
                              <w:marLeft w:val="0"/>
                              <w:marRight w:val="300"/>
                              <w:marTop w:val="180"/>
                              <w:marBottom w:val="0"/>
                              <w:divBdr>
                                <w:top w:val="none" w:sz="0" w:space="0" w:color="auto"/>
                                <w:left w:val="none" w:sz="0" w:space="0" w:color="auto"/>
                                <w:bottom w:val="none" w:sz="0" w:space="0" w:color="auto"/>
                                <w:right w:val="none" w:sz="0" w:space="0" w:color="auto"/>
                              </w:divBdr>
                              <w:divsChild>
                                <w:div w:id="2128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270583">
          <w:marLeft w:val="0"/>
          <w:marRight w:val="0"/>
          <w:marTop w:val="0"/>
          <w:marBottom w:val="0"/>
          <w:divBdr>
            <w:top w:val="none" w:sz="0" w:space="0" w:color="auto"/>
            <w:left w:val="none" w:sz="0" w:space="0" w:color="auto"/>
            <w:bottom w:val="none" w:sz="0" w:space="0" w:color="auto"/>
            <w:right w:val="none" w:sz="0" w:space="0" w:color="auto"/>
          </w:divBdr>
          <w:divsChild>
            <w:div w:id="2052999257">
              <w:marLeft w:val="0"/>
              <w:marRight w:val="0"/>
              <w:marTop w:val="0"/>
              <w:marBottom w:val="0"/>
              <w:divBdr>
                <w:top w:val="none" w:sz="0" w:space="0" w:color="auto"/>
                <w:left w:val="none" w:sz="0" w:space="0" w:color="auto"/>
                <w:bottom w:val="none" w:sz="0" w:space="0" w:color="auto"/>
                <w:right w:val="none" w:sz="0" w:space="0" w:color="auto"/>
              </w:divBdr>
              <w:divsChild>
                <w:div w:id="2132894006">
                  <w:marLeft w:val="0"/>
                  <w:marRight w:val="0"/>
                  <w:marTop w:val="0"/>
                  <w:marBottom w:val="0"/>
                  <w:divBdr>
                    <w:top w:val="none" w:sz="0" w:space="0" w:color="auto"/>
                    <w:left w:val="none" w:sz="0" w:space="0" w:color="auto"/>
                    <w:bottom w:val="none" w:sz="0" w:space="0" w:color="auto"/>
                    <w:right w:val="none" w:sz="0" w:space="0" w:color="auto"/>
                  </w:divBdr>
                  <w:divsChild>
                    <w:div w:id="1346009460">
                      <w:marLeft w:val="0"/>
                      <w:marRight w:val="0"/>
                      <w:marTop w:val="0"/>
                      <w:marBottom w:val="0"/>
                      <w:divBdr>
                        <w:top w:val="none" w:sz="0" w:space="0" w:color="auto"/>
                        <w:left w:val="none" w:sz="0" w:space="0" w:color="auto"/>
                        <w:bottom w:val="none" w:sz="0" w:space="0" w:color="auto"/>
                        <w:right w:val="none" w:sz="0" w:space="0" w:color="auto"/>
                      </w:divBdr>
                      <w:divsChild>
                        <w:div w:id="3474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588">
      <w:bodyDiv w:val="1"/>
      <w:marLeft w:val="0"/>
      <w:marRight w:val="0"/>
      <w:marTop w:val="0"/>
      <w:marBottom w:val="0"/>
      <w:divBdr>
        <w:top w:val="none" w:sz="0" w:space="0" w:color="auto"/>
        <w:left w:val="none" w:sz="0" w:space="0" w:color="auto"/>
        <w:bottom w:val="none" w:sz="0" w:space="0" w:color="auto"/>
        <w:right w:val="none" w:sz="0" w:space="0" w:color="auto"/>
      </w:divBdr>
      <w:divsChild>
        <w:div w:id="98960853">
          <w:marLeft w:val="0"/>
          <w:marRight w:val="0"/>
          <w:marTop w:val="0"/>
          <w:marBottom w:val="0"/>
          <w:divBdr>
            <w:top w:val="none" w:sz="0" w:space="0" w:color="auto"/>
            <w:left w:val="none" w:sz="0" w:space="0" w:color="auto"/>
            <w:bottom w:val="none" w:sz="0" w:space="0" w:color="auto"/>
            <w:right w:val="none" w:sz="0" w:space="0" w:color="auto"/>
          </w:divBdr>
          <w:divsChild>
            <w:div w:id="1035085453">
              <w:marLeft w:val="0"/>
              <w:marRight w:val="0"/>
              <w:marTop w:val="0"/>
              <w:marBottom w:val="0"/>
              <w:divBdr>
                <w:top w:val="none" w:sz="0" w:space="0" w:color="auto"/>
                <w:left w:val="none" w:sz="0" w:space="0" w:color="auto"/>
                <w:bottom w:val="none" w:sz="0" w:space="0" w:color="auto"/>
                <w:right w:val="none" w:sz="0" w:space="0" w:color="auto"/>
              </w:divBdr>
              <w:divsChild>
                <w:div w:id="1931311154">
                  <w:marLeft w:val="0"/>
                  <w:marRight w:val="0"/>
                  <w:marTop w:val="0"/>
                  <w:marBottom w:val="0"/>
                  <w:divBdr>
                    <w:top w:val="none" w:sz="0" w:space="0" w:color="auto"/>
                    <w:left w:val="none" w:sz="0" w:space="0" w:color="auto"/>
                    <w:bottom w:val="none" w:sz="0" w:space="0" w:color="auto"/>
                    <w:right w:val="none" w:sz="0" w:space="0" w:color="auto"/>
                  </w:divBdr>
                  <w:divsChild>
                    <w:div w:id="809174857">
                      <w:marLeft w:val="0"/>
                      <w:marRight w:val="0"/>
                      <w:marTop w:val="0"/>
                      <w:marBottom w:val="0"/>
                      <w:divBdr>
                        <w:top w:val="none" w:sz="0" w:space="0" w:color="auto"/>
                        <w:left w:val="none" w:sz="0" w:space="0" w:color="auto"/>
                        <w:bottom w:val="none" w:sz="0" w:space="0" w:color="auto"/>
                        <w:right w:val="none" w:sz="0" w:space="0" w:color="auto"/>
                      </w:divBdr>
                      <w:divsChild>
                        <w:div w:id="697049585">
                          <w:marLeft w:val="0"/>
                          <w:marRight w:val="0"/>
                          <w:marTop w:val="0"/>
                          <w:marBottom w:val="0"/>
                          <w:divBdr>
                            <w:top w:val="none" w:sz="0" w:space="0" w:color="auto"/>
                            <w:left w:val="none" w:sz="0" w:space="0" w:color="auto"/>
                            <w:bottom w:val="none" w:sz="0" w:space="0" w:color="auto"/>
                            <w:right w:val="none" w:sz="0" w:space="0" w:color="auto"/>
                          </w:divBdr>
                          <w:divsChild>
                            <w:div w:id="1261134836">
                              <w:marLeft w:val="0"/>
                              <w:marRight w:val="300"/>
                              <w:marTop w:val="180"/>
                              <w:marBottom w:val="0"/>
                              <w:divBdr>
                                <w:top w:val="none" w:sz="0" w:space="0" w:color="auto"/>
                                <w:left w:val="none" w:sz="0" w:space="0" w:color="auto"/>
                                <w:bottom w:val="none" w:sz="0" w:space="0" w:color="auto"/>
                                <w:right w:val="none" w:sz="0" w:space="0" w:color="auto"/>
                              </w:divBdr>
                              <w:divsChild>
                                <w:div w:id="279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88671">
          <w:marLeft w:val="0"/>
          <w:marRight w:val="0"/>
          <w:marTop w:val="0"/>
          <w:marBottom w:val="0"/>
          <w:divBdr>
            <w:top w:val="none" w:sz="0" w:space="0" w:color="auto"/>
            <w:left w:val="none" w:sz="0" w:space="0" w:color="auto"/>
            <w:bottom w:val="none" w:sz="0" w:space="0" w:color="auto"/>
            <w:right w:val="none" w:sz="0" w:space="0" w:color="auto"/>
          </w:divBdr>
          <w:divsChild>
            <w:div w:id="1679116297">
              <w:marLeft w:val="0"/>
              <w:marRight w:val="0"/>
              <w:marTop w:val="0"/>
              <w:marBottom w:val="0"/>
              <w:divBdr>
                <w:top w:val="none" w:sz="0" w:space="0" w:color="auto"/>
                <w:left w:val="none" w:sz="0" w:space="0" w:color="auto"/>
                <w:bottom w:val="none" w:sz="0" w:space="0" w:color="auto"/>
                <w:right w:val="none" w:sz="0" w:space="0" w:color="auto"/>
              </w:divBdr>
              <w:divsChild>
                <w:div w:id="426468348">
                  <w:marLeft w:val="0"/>
                  <w:marRight w:val="0"/>
                  <w:marTop w:val="0"/>
                  <w:marBottom w:val="0"/>
                  <w:divBdr>
                    <w:top w:val="none" w:sz="0" w:space="0" w:color="auto"/>
                    <w:left w:val="none" w:sz="0" w:space="0" w:color="auto"/>
                    <w:bottom w:val="none" w:sz="0" w:space="0" w:color="auto"/>
                    <w:right w:val="none" w:sz="0" w:space="0" w:color="auto"/>
                  </w:divBdr>
                  <w:divsChild>
                    <w:div w:id="1643729830">
                      <w:marLeft w:val="0"/>
                      <w:marRight w:val="0"/>
                      <w:marTop w:val="0"/>
                      <w:marBottom w:val="0"/>
                      <w:divBdr>
                        <w:top w:val="none" w:sz="0" w:space="0" w:color="auto"/>
                        <w:left w:val="none" w:sz="0" w:space="0" w:color="auto"/>
                        <w:bottom w:val="none" w:sz="0" w:space="0" w:color="auto"/>
                        <w:right w:val="none" w:sz="0" w:space="0" w:color="auto"/>
                      </w:divBdr>
                      <w:divsChild>
                        <w:div w:id="11854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38771">
      <w:bodyDiv w:val="1"/>
      <w:marLeft w:val="0"/>
      <w:marRight w:val="0"/>
      <w:marTop w:val="0"/>
      <w:marBottom w:val="0"/>
      <w:divBdr>
        <w:top w:val="none" w:sz="0" w:space="0" w:color="auto"/>
        <w:left w:val="none" w:sz="0" w:space="0" w:color="auto"/>
        <w:bottom w:val="none" w:sz="0" w:space="0" w:color="auto"/>
        <w:right w:val="none" w:sz="0" w:space="0" w:color="auto"/>
      </w:divBdr>
    </w:div>
    <w:div w:id="257375076">
      <w:bodyDiv w:val="1"/>
      <w:marLeft w:val="0"/>
      <w:marRight w:val="0"/>
      <w:marTop w:val="0"/>
      <w:marBottom w:val="0"/>
      <w:divBdr>
        <w:top w:val="none" w:sz="0" w:space="0" w:color="auto"/>
        <w:left w:val="none" w:sz="0" w:space="0" w:color="auto"/>
        <w:bottom w:val="none" w:sz="0" w:space="0" w:color="auto"/>
        <w:right w:val="none" w:sz="0" w:space="0" w:color="auto"/>
      </w:divBdr>
      <w:divsChild>
        <w:div w:id="1567257656">
          <w:marLeft w:val="0"/>
          <w:marRight w:val="0"/>
          <w:marTop w:val="0"/>
          <w:marBottom w:val="0"/>
          <w:divBdr>
            <w:top w:val="none" w:sz="0" w:space="0" w:color="auto"/>
            <w:left w:val="none" w:sz="0" w:space="0" w:color="auto"/>
            <w:bottom w:val="none" w:sz="0" w:space="0" w:color="auto"/>
            <w:right w:val="none" w:sz="0" w:space="0" w:color="auto"/>
          </w:divBdr>
          <w:divsChild>
            <w:div w:id="1625769040">
              <w:marLeft w:val="0"/>
              <w:marRight w:val="0"/>
              <w:marTop w:val="0"/>
              <w:marBottom w:val="0"/>
              <w:divBdr>
                <w:top w:val="none" w:sz="0" w:space="0" w:color="auto"/>
                <w:left w:val="none" w:sz="0" w:space="0" w:color="auto"/>
                <w:bottom w:val="none" w:sz="0" w:space="0" w:color="auto"/>
                <w:right w:val="none" w:sz="0" w:space="0" w:color="auto"/>
              </w:divBdr>
              <w:divsChild>
                <w:div w:id="453988977">
                  <w:marLeft w:val="0"/>
                  <w:marRight w:val="0"/>
                  <w:marTop w:val="0"/>
                  <w:marBottom w:val="0"/>
                  <w:divBdr>
                    <w:top w:val="none" w:sz="0" w:space="0" w:color="auto"/>
                    <w:left w:val="none" w:sz="0" w:space="0" w:color="auto"/>
                    <w:bottom w:val="none" w:sz="0" w:space="0" w:color="auto"/>
                    <w:right w:val="none" w:sz="0" w:space="0" w:color="auto"/>
                  </w:divBdr>
                  <w:divsChild>
                    <w:div w:id="328338557">
                      <w:marLeft w:val="0"/>
                      <w:marRight w:val="0"/>
                      <w:marTop w:val="0"/>
                      <w:marBottom w:val="0"/>
                      <w:divBdr>
                        <w:top w:val="none" w:sz="0" w:space="0" w:color="auto"/>
                        <w:left w:val="none" w:sz="0" w:space="0" w:color="auto"/>
                        <w:bottom w:val="none" w:sz="0" w:space="0" w:color="auto"/>
                        <w:right w:val="none" w:sz="0" w:space="0" w:color="auto"/>
                      </w:divBdr>
                      <w:divsChild>
                        <w:div w:id="844442991">
                          <w:marLeft w:val="0"/>
                          <w:marRight w:val="0"/>
                          <w:marTop w:val="0"/>
                          <w:marBottom w:val="0"/>
                          <w:divBdr>
                            <w:top w:val="none" w:sz="0" w:space="0" w:color="auto"/>
                            <w:left w:val="none" w:sz="0" w:space="0" w:color="auto"/>
                            <w:bottom w:val="none" w:sz="0" w:space="0" w:color="auto"/>
                            <w:right w:val="none" w:sz="0" w:space="0" w:color="auto"/>
                          </w:divBdr>
                          <w:divsChild>
                            <w:div w:id="42099156">
                              <w:marLeft w:val="0"/>
                              <w:marRight w:val="300"/>
                              <w:marTop w:val="180"/>
                              <w:marBottom w:val="0"/>
                              <w:divBdr>
                                <w:top w:val="none" w:sz="0" w:space="0" w:color="auto"/>
                                <w:left w:val="none" w:sz="0" w:space="0" w:color="auto"/>
                                <w:bottom w:val="none" w:sz="0" w:space="0" w:color="auto"/>
                                <w:right w:val="none" w:sz="0" w:space="0" w:color="auto"/>
                              </w:divBdr>
                              <w:divsChild>
                                <w:div w:id="4717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19865">
          <w:marLeft w:val="0"/>
          <w:marRight w:val="0"/>
          <w:marTop w:val="0"/>
          <w:marBottom w:val="0"/>
          <w:divBdr>
            <w:top w:val="none" w:sz="0" w:space="0" w:color="auto"/>
            <w:left w:val="none" w:sz="0" w:space="0" w:color="auto"/>
            <w:bottom w:val="none" w:sz="0" w:space="0" w:color="auto"/>
            <w:right w:val="none" w:sz="0" w:space="0" w:color="auto"/>
          </w:divBdr>
          <w:divsChild>
            <w:div w:id="1271861050">
              <w:marLeft w:val="0"/>
              <w:marRight w:val="0"/>
              <w:marTop w:val="0"/>
              <w:marBottom w:val="0"/>
              <w:divBdr>
                <w:top w:val="none" w:sz="0" w:space="0" w:color="auto"/>
                <w:left w:val="none" w:sz="0" w:space="0" w:color="auto"/>
                <w:bottom w:val="none" w:sz="0" w:space="0" w:color="auto"/>
                <w:right w:val="none" w:sz="0" w:space="0" w:color="auto"/>
              </w:divBdr>
              <w:divsChild>
                <w:div w:id="493496995">
                  <w:marLeft w:val="0"/>
                  <w:marRight w:val="0"/>
                  <w:marTop w:val="0"/>
                  <w:marBottom w:val="0"/>
                  <w:divBdr>
                    <w:top w:val="none" w:sz="0" w:space="0" w:color="auto"/>
                    <w:left w:val="none" w:sz="0" w:space="0" w:color="auto"/>
                    <w:bottom w:val="none" w:sz="0" w:space="0" w:color="auto"/>
                    <w:right w:val="none" w:sz="0" w:space="0" w:color="auto"/>
                  </w:divBdr>
                  <w:divsChild>
                    <w:div w:id="873420009">
                      <w:marLeft w:val="0"/>
                      <w:marRight w:val="0"/>
                      <w:marTop w:val="0"/>
                      <w:marBottom w:val="0"/>
                      <w:divBdr>
                        <w:top w:val="none" w:sz="0" w:space="0" w:color="auto"/>
                        <w:left w:val="none" w:sz="0" w:space="0" w:color="auto"/>
                        <w:bottom w:val="none" w:sz="0" w:space="0" w:color="auto"/>
                        <w:right w:val="none" w:sz="0" w:space="0" w:color="auto"/>
                      </w:divBdr>
                      <w:divsChild>
                        <w:div w:id="10766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17472">
      <w:bodyDiv w:val="1"/>
      <w:marLeft w:val="0"/>
      <w:marRight w:val="0"/>
      <w:marTop w:val="0"/>
      <w:marBottom w:val="0"/>
      <w:divBdr>
        <w:top w:val="none" w:sz="0" w:space="0" w:color="auto"/>
        <w:left w:val="none" w:sz="0" w:space="0" w:color="auto"/>
        <w:bottom w:val="none" w:sz="0" w:space="0" w:color="auto"/>
        <w:right w:val="none" w:sz="0" w:space="0" w:color="auto"/>
      </w:divBdr>
    </w:div>
    <w:div w:id="281687424">
      <w:bodyDiv w:val="1"/>
      <w:marLeft w:val="0"/>
      <w:marRight w:val="0"/>
      <w:marTop w:val="0"/>
      <w:marBottom w:val="0"/>
      <w:divBdr>
        <w:top w:val="none" w:sz="0" w:space="0" w:color="auto"/>
        <w:left w:val="none" w:sz="0" w:space="0" w:color="auto"/>
        <w:bottom w:val="none" w:sz="0" w:space="0" w:color="auto"/>
        <w:right w:val="none" w:sz="0" w:space="0" w:color="auto"/>
      </w:divBdr>
    </w:div>
    <w:div w:id="328220425">
      <w:bodyDiv w:val="1"/>
      <w:marLeft w:val="0"/>
      <w:marRight w:val="0"/>
      <w:marTop w:val="0"/>
      <w:marBottom w:val="0"/>
      <w:divBdr>
        <w:top w:val="none" w:sz="0" w:space="0" w:color="auto"/>
        <w:left w:val="none" w:sz="0" w:space="0" w:color="auto"/>
        <w:bottom w:val="none" w:sz="0" w:space="0" w:color="auto"/>
        <w:right w:val="none" w:sz="0" w:space="0" w:color="auto"/>
      </w:divBdr>
      <w:divsChild>
        <w:div w:id="761754092">
          <w:marLeft w:val="0"/>
          <w:marRight w:val="0"/>
          <w:marTop w:val="0"/>
          <w:marBottom w:val="0"/>
          <w:divBdr>
            <w:top w:val="none" w:sz="0" w:space="0" w:color="auto"/>
            <w:left w:val="none" w:sz="0" w:space="0" w:color="auto"/>
            <w:bottom w:val="none" w:sz="0" w:space="0" w:color="auto"/>
            <w:right w:val="none" w:sz="0" w:space="0" w:color="auto"/>
          </w:divBdr>
        </w:div>
        <w:div w:id="1561601122">
          <w:marLeft w:val="0"/>
          <w:marRight w:val="0"/>
          <w:marTop w:val="0"/>
          <w:marBottom w:val="0"/>
          <w:divBdr>
            <w:top w:val="none" w:sz="0" w:space="0" w:color="auto"/>
            <w:left w:val="none" w:sz="0" w:space="0" w:color="auto"/>
            <w:bottom w:val="none" w:sz="0" w:space="0" w:color="auto"/>
            <w:right w:val="none" w:sz="0" w:space="0" w:color="auto"/>
          </w:divBdr>
        </w:div>
        <w:div w:id="1759130779">
          <w:marLeft w:val="0"/>
          <w:marRight w:val="0"/>
          <w:marTop w:val="0"/>
          <w:marBottom w:val="0"/>
          <w:divBdr>
            <w:top w:val="none" w:sz="0" w:space="0" w:color="auto"/>
            <w:left w:val="none" w:sz="0" w:space="0" w:color="auto"/>
            <w:bottom w:val="none" w:sz="0" w:space="0" w:color="auto"/>
            <w:right w:val="none" w:sz="0" w:space="0" w:color="auto"/>
          </w:divBdr>
        </w:div>
      </w:divsChild>
    </w:div>
    <w:div w:id="397093399">
      <w:bodyDiv w:val="1"/>
      <w:marLeft w:val="0"/>
      <w:marRight w:val="0"/>
      <w:marTop w:val="0"/>
      <w:marBottom w:val="0"/>
      <w:divBdr>
        <w:top w:val="none" w:sz="0" w:space="0" w:color="auto"/>
        <w:left w:val="none" w:sz="0" w:space="0" w:color="auto"/>
        <w:bottom w:val="none" w:sz="0" w:space="0" w:color="auto"/>
        <w:right w:val="none" w:sz="0" w:space="0" w:color="auto"/>
      </w:divBdr>
      <w:divsChild>
        <w:div w:id="2069912206">
          <w:marLeft w:val="0"/>
          <w:marRight w:val="0"/>
          <w:marTop w:val="0"/>
          <w:marBottom w:val="0"/>
          <w:divBdr>
            <w:top w:val="none" w:sz="0" w:space="0" w:color="auto"/>
            <w:left w:val="none" w:sz="0" w:space="0" w:color="auto"/>
            <w:bottom w:val="none" w:sz="0" w:space="0" w:color="auto"/>
            <w:right w:val="none" w:sz="0" w:space="0" w:color="auto"/>
          </w:divBdr>
          <w:divsChild>
            <w:div w:id="1602298365">
              <w:marLeft w:val="0"/>
              <w:marRight w:val="0"/>
              <w:marTop w:val="0"/>
              <w:marBottom w:val="0"/>
              <w:divBdr>
                <w:top w:val="none" w:sz="0" w:space="0" w:color="auto"/>
                <w:left w:val="none" w:sz="0" w:space="0" w:color="auto"/>
                <w:bottom w:val="none" w:sz="0" w:space="0" w:color="auto"/>
                <w:right w:val="none" w:sz="0" w:space="0" w:color="auto"/>
              </w:divBdr>
              <w:divsChild>
                <w:div w:id="1955820004">
                  <w:marLeft w:val="0"/>
                  <w:marRight w:val="0"/>
                  <w:marTop w:val="0"/>
                  <w:marBottom w:val="0"/>
                  <w:divBdr>
                    <w:top w:val="none" w:sz="0" w:space="0" w:color="auto"/>
                    <w:left w:val="none" w:sz="0" w:space="0" w:color="auto"/>
                    <w:bottom w:val="none" w:sz="0" w:space="0" w:color="auto"/>
                    <w:right w:val="none" w:sz="0" w:space="0" w:color="auto"/>
                  </w:divBdr>
                  <w:divsChild>
                    <w:div w:id="884875736">
                      <w:marLeft w:val="0"/>
                      <w:marRight w:val="0"/>
                      <w:marTop w:val="0"/>
                      <w:marBottom w:val="0"/>
                      <w:divBdr>
                        <w:top w:val="none" w:sz="0" w:space="0" w:color="auto"/>
                        <w:left w:val="none" w:sz="0" w:space="0" w:color="auto"/>
                        <w:bottom w:val="none" w:sz="0" w:space="0" w:color="auto"/>
                        <w:right w:val="none" w:sz="0" w:space="0" w:color="auto"/>
                      </w:divBdr>
                      <w:divsChild>
                        <w:div w:id="602300908">
                          <w:marLeft w:val="0"/>
                          <w:marRight w:val="0"/>
                          <w:marTop w:val="0"/>
                          <w:marBottom w:val="0"/>
                          <w:divBdr>
                            <w:top w:val="none" w:sz="0" w:space="0" w:color="auto"/>
                            <w:left w:val="none" w:sz="0" w:space="0" w:color="auto"/>
                            <w:bottom w:val="none" w:sz="0" w:space="0" w:color="auto"/>
                            <w:right w:val="none" w:sz="0" w:space="0" w:color="auto"/>
                          </w:divBdr>
                          <w:divsChild>
                            <w:div w:id="1088188885">
                              <w:marLeft w:val="0"/>
                              <w:marRight w:val="300"/>
                              <w:marTop w:val="180"/>
                              <w:marBottom w:val="0"/>
                              <w:divBdr>
                                <w:top w:val="none" w:sz="0" w:space="0" w:color="auto"/>
                                <w:left w:val="none" w:sz="0" w:space="0" w:color="auto"/>
                                <w:bottom w:val="none" w:sz="0" w:space="0" w:color="auto"/>
                                <w:right w:val="none" w:sz="0" w:space="0" w:color="auto"/>
                              </w:divBdr>
                              <w:divsChild>
                                <w:div w:id="6216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7849">
          <w:marLeft w:val="0"/>
          <w:marRight w:val="0"/>
          <w:marTop w:val="0"/>
          <w:marBottom w:val="0"/>
          <w:divBdr>
            <w:top w:val="none" w:sz="0" w:space="0" w:color="auto"/>
            <w:left w:val="none" w:sz="0" w:space="0" w:color="auto"/>
            <w:bottom w:val="none" w:sz="0" w:space="0" w:color="auto"/>
            <w:right w:val="none" w:sz="0" w:space="0" w:color="auto"/>
          </w:divBdr>
          <w:divsChild>
            <w:div w:id="1256093900">
              <w:marLeft w:val="0"/>
              <w:marRight w:val="0"/>
              <w:marTop w:val="0"/>
              <w:marBottom w:val="0"/>
              <w:divBdr>
                <w:top w:val="none" w:sz="0" w:space="0" w:color="auto"/>
                <w:left w:val="none" w:sz="0" w:space="0" w:color="auto"/>
                <w:bottom w:val="none" w:sz="0" w:space="0" w:color="auto"/>
                <w:right w:val="none" w:sz="0" w:space="0" w:color="auto"/>
              </w:divBdr>
              <w:divsChild>
                <w:div w:id="1925995818">
                  <w:marLeft w:val="0"/>
                  <w:marRight w:val="0"/>
                  <w:marTop w:val="0"/>
                  <w:marBottom w:val="0"/>
                  <w:divBdr>
                    <w:top w:val="none" w:sz="0" w:space="0" w:color="auto"/>
                    <w:left w:val="none" w:sz="0" w:space="0" w:color="auto"/>
                    <w:bottom w:val="none" w:sz="0" w:space="0" w:color="auto"/>
                    <w:right w:val="none" w:sz="0" w:space="0" w:color="auto"/>
                  </w:divBdr>
                  <w:divsChild>
                    <w:div w:id="1271669672">
                      <w:marLeft w:val="0"/>
                      <w:marRight w:val="0"/>
                      <w:marTop w:val="0"/>
                      <w:marBottom w:val="0"/>
                      <w:divBdr>
                        <w:top w:val="none" w:sz="0" w:space="0" w:color="auto"/>
                        <w:left w:val="none" w:sz="0" w:space="0" w:color="auto"/>
                        <w:bottom w:val="none" w:sz="0" w:space="0" w:color="auto"/>
                        <w:right w:val="none" w:sz="0" w:space="0" w:color="auto"/>
                      </w:divBdr>
                      <w:divsChild>
                        <w:div w:id="6442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053708">
      <w:bodyDiv w:val="1"/>
      <w:marLeft w:val="0"/>
      <w:marRight w:val="0"/>
      <w:marTop w:val="0"/>
      <w:marBottom w:val="0"/>
      <w:divBdr>
        <w:top w:val="none" w:sz="0" w:space="0" w:color="auto"/>
        <w:left w:val="none" w:sz="0" w:space="0" w:color="auto"/>
        <w:bottom w:val="none" w:sz="0" w:space="0" w:color="auto"/>
        <w:right w:val="none" w:sz="0" w:space="0" w:color="auto"/>
      </w:divBdr>
    </w:div>
    <w:div w:id="487551452">
      <w:bodyDiv w:val="1"/>
      <w:marLeft w:val="0"/>
      <w:marRight w:val="0"/>
      <w:marTop w:val="0"/>
      <w:marBottom w:val="0"/>
      <w:divBdr>
        <w:top w:val="none" w:sz="0" w:space="0" w:color="auto"/>
        <w:left w:val="none" w:sz="0" w:space="0" w:color="auto"/>
        <w:bottom w:val="none" w:sz="0" w:space="0" w:color="auto"/>
        <w:right w:val="none" w:sz="0" w:space="0" w:color="auto"/>
      </w:divBdr>
      <w:divsChild>
        <w:div w:id="562066623">
          <w:marLeft w:val="0"/>
          <w:marRight w:val="0"/>
          <w:marTop w:val="0"/>
          <w:marBottom w:val="0"/>
          <w:divBdr>
            <w:top w:val="none" w:sz="0" w:space="0" w:color="auto"/>
            <w:left w:val="none" w:sz="0" w:space="0" w:color="auto"/>
            <w:bottom w:val="none" w:sz="0" w:space="0" w:color="auto"/>
            <w:right w:val="none" w:sz="0" w:space="0" w:color="auto"/>
          </w:divBdr>
          <w:divsChild>
            <w:div w:id="332539410">
              <w:marLeft w:val="0"/>
              <w:marRight w:val="0"/>
              <w:marTop w:val="0"/>
              <w:marBottom w:val="0"/>
              <w:divBdr>
                <w:top w:val="none" w:sz="0" w:space="0" w:color="auto"/>
                <w:left w:val="none" w:sz="0" w:space="0" w:color="auto"/>
                <w:bottom w:val="none" w:sz="0" w:space="0" w:color="auto"/>
                <w:right w:val="none" w:sz="0" w:space="0" w:color="auto"/>
              </w:divBdr>
              <w:divsChild>
                <w:div w:id="1289045107">
                  <w:marLeft w:val="0"/>
                  <w:marRight w:val="0"/>
                  <w:marTop w:val="0"/>
                  <w:marBottom w:val="0"/>
                  <w:divBdr>
                    <w:top w:val="none" w:sz="0" w:space="0" w:color="auto"/>
                    <w:left w:val="none" w:sz="0" w:space="0" w:color="auto"/>
                    <w:bottom w:val="none" w:sz="0" w:space="0" w:color="auto"/>
                    <w:right w:val="none" w:sz="0" w:space="0" w:color="auto"/>
                  </w:divBdr>
                  <w:divsChild>
                    <w:div w:id="1799106168">
                      <w:marLeft w:val="0"/>
                      <w:marRight w:val="0"/>
                      <w:marTop w:val="0"/>
                      <w:marBottom w:val="0"/>
                      <w:divBdr>
                        <w:top w:val="none" w:sz="0" w:space="0" w:color="auto"/>
                        <w:left w:val="none" w:sz="0" w:space="0" w:color="auto"/>
                        <w:bottom w:val="none" w:sz="0" w:space="0" w:color="auto"/>
                        <w:right w:val="none" w:sz="0" w:space="0" w:color="auto"/>
                      </w:divBdr>
                      <w:divsChild>
                        <w:div w:id="1664313307">
                          <w:marLeft w:val="0"/>
                          <w:marRight w:val="0"/>
                          <w:marTop w:val="0"/>
                          <w:marBottom w:val="0"/>
                          <w:divBdr>
                            <w:top w:val="none" w:sz="0" w:space="0" w:color="auto"/>
                            <w:left w:val="none" w:sz="0" w:space="0" w:color="auto"/>
                            <w:bottom w:val="none" w:sz="0" w:space="0" w:color="auto"/>
                            <w:right w:val="none" w:sz="0" w:space="0" w:color="auto"/>
                          </w:divBdr>
                          <w:divsChild>
                            <w:div w:id="1393233193">
                              <w:marLeft w:val="0"/>
                              <w:marRight w:val="300"/>
                              <w:marTop w:val="180"/>
                              <w:marBottom w:val="0"/>
                              <w:divBdr>
                                <w:top w:val="none" w:sz="0" w:space="0" w:color="auto"/>
                                <w:left w:val="none" w:sz="0" w:space="0" w:color="auto"/>
                                <w:bottom w:val="none" w:sz="0" w:space="0" w:color="auto"/>
                                <w:right w:val="none" w:sz="0" w:space="0" w:color="auto"/>
                              </w:divBdr>
                              <w:divsChild>
                                <w:div w:id="16732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18600">
          <w:marLeft w:val="0"/>
          <w:marRight w:val="0"/>
          <w:marTop w:val="0"/>
          <w:marBottom w:val="0"/>
          <w:divBdr>
            <w:top w:val="none" w:sz="0" w:space="0" w:color="auto"/>
            <w:left w:val="none" w:sz="0" w:space="0" w:color="auto"/>
            <w:bottom w:val="none" w:sz="0" w:space="0" w:color="auto"/>
            <w:right w:val="none" w:sz="0" w:space="0" w:color="auto"/>
          </w:divBdr>
          <w:divsChild>
            <w:div w:id="440689410">
              <w:marLeft w:val="0"/>
              <w:marRight w:val="0"/>
              <w:marTop w:val="0"/>
              <w:marBottom w:val="0"/>
              <w:divBdr>
                <w:top w:val="none" w:sz="0" w:space="0" w:color="auto"/>
                <w:left w:val="none" w:sz="0" w:space="0" w:color="auto"/>
                <w:bottom w:val="none" w:sz="0" w:space="0" w:color="auto"/>
                <w:right w:val="none" w:sz="0" w:space="0" w:color="auto"/>
              </w:divBdr>
              <w:divsChild>
                <w:div w:id="354113396">
                  <w:marLeft w:val="0"/>
                  <w:marRight w:val="0"/>
                  <w:marTop w:val="0"/>
                  <w:marBottom w:val="0"/>
                  <w:divBdr>
                    <w:top w:val="none" w:sz="0" w:space="0" w:color="auto"/>
                    <w:left w:val="none" w:sz="0" w:space="0" w:color="auto"/>
                    <w:bottom w:val="none" w:sz="0" w:space="0" w:color="auto"/>
                    <w:right w:val="none" w:sz="0" w:space="0" w:color="auto"/>
                  </w:divBdr>
                  <w:divsChild>
                    <w:div w:id="2046442307">
                      <w:marLeft w:val="0"/>
                      <w:marRight w:val="0"/>
                      <w:marTop w:val="0"/>
                      <w:marBottom w:val="0"/>
                      <w:divBdr>
                        <w:top w:val="none" w:sz="0" w:space="0" w:color="auto"/>
                        <w:left w:val="none" w:sz="0" w:space="0" w:color="auto"/>
                        <w:bottom w:val="none" w:sz="0" w:space="0" w:color="auto"/>
                        <w:right w:val="none" w:sz="0" w:space="0" w:color="auto"/>
                      </w:divBdr>
                      <w:divsChild>
                        <w:div w:id="19727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44717">
      <w:bodyDiv w:val="1"/>
      <w:marLeft w:val="0"/>
      <w:marRight w:val="0"/>
      <w:marTop w:val="0"/>
      <w:marBottom w:val="0"/>
      <w:divBdr>
        <w:top w:val="none" w:sz="0" w:space="0" w:color="auto"/>
        <w:left w:val="none" w:sz="0" w:space="0" w:color="auto"/>
        <w:bottom w:val="none" w:sz="0" w:space="0" w:color="auto"/>
        <w:right w:val="none" w:sz="0" w:space="0" w:color="auto"/>
      </w:divBdr>
      <w:divsChild>
        <w:div w:id="1194227903">
          <w:marLeft w:val="0"/>
          <w:marRight w:val="0"/>
          <w:marTop w:val="0"/>
          <w:marBottom w:val="0"/>
          <w:divBdr>
            <w:top w:val="none" w:sz="0" w:space="0" w:color="auto"/>
            <w:left w:val="none" w:sz="0" w:space="0" w:color="auto"/>
            <w:bottom w:val="none" w:sz="0" w:space="0" w:color="auto"/>
            <w:right w:val="none" w:sz="0" w:space="0" w:color="auto"/>
          </w:divBdr>
          <w:divsChild>
            <w:div w:id="1213224671">
              <w:marLeft w:val="0"/>
              <w:marRight w:val="0"/>
              <w:marTop w:val="0"/>
              <w:marBottom w:val="0"/>
              <w:divBdr>
                <w:top w:val="none" w:sz="0" w:space="0" w:color="auto"/>
                <w:left w:val="none" w:sz="0" w:space="0" w:color="auto"/>
                <w:bottom w:val="none" w:sz="0" w:space="0" w:color="auto"/>
                <w:right w:val="none" w:sz="0" w:space="0" w:color="auto"/>
              </w:divBdr>
              <w:divsChild>
                <w:div w:id="1838887344">
                  <w:marLeft w:val="0"/>
                  <w:marRight w:val="0"/>
                  <w:marTop w:val="0"/>
                  <w:marBottom w:val="0"/>
                  <w:divBdr>
                    <w:top w:val="none" w:sz="0" w:space="0" w:color="auto"/>
                    <w:left w:val="none" w:sz="0" w:space="0" w:color="auto"/>
                    <w:bottom w:val="none" w:sz="0" w:space="0" w:color="auto"/>
                    <w:right w:val="none" w:sz="0" w:space="0" w:color="auto"/>
                  </w:divBdr>
                  <w:divsChild>
                    <w:div w:id="521749818">
                      <w:marLeft w:val="0"/>
                      <w:marRight w:val="0"/>
                      <w:marTop w:val="0"/>
                      <w:marBottom w:val="0"/>
                      <w:divBdr>
                        <w:top w:val="none" w:sz="0" w:space="0" w:color="auto"/>
                        <w:left w:val="none" w:sz="0" w:space="0" w:color="auto"/>
                        <w:bottom w:val="none" w:sz="0" w:space="0" w:color="auto"/>
                        <w:right w:val="none" w:sz="0" w:space="0" w:color="auto"/>
                      </w:divBdr>
                      <w:divsChild>
                        <w:div w:id="1232278010">
                          <w:marLeft w:val="0"/>
                          <w:marRight w:val="0"/>
                          <w:marTop w:val="0"/>
                          <w:marBottom w:val="0"/>
                          <w:divBdr>
                            <w:top w:val="none" w:sz="0" w:space="0" w:color="auto"/>
                            <w:left w:val="none" w:sz="0" w:space="0" w:color="auto"/>
                            <w:bottom w:val="none" w:sz="0" w:space="0" w:color="auto"/>
                            <w:right w:val="none" w:sz="0" w:space="0" w:color="auto"/>
                          </w:divBdr>
                          <w:divsChild>
                            <w:div w:id="1729449050">
                              <w:marLeft w:val="0"/>
                              <w:marRight w:val="300"/>
                              <w:marTop w:val="180"/>
                              <w:marBottom w:val="0"/>
                              <w:divBdr>
                                <w:top w:val="none" w:sz="0" w:space="0" w:color="auto"/>
                                <w:left w:val="none" w:sz="0" w:space="0" w:color="auto"/>
                                <w:bottom w:val="none" w:sz="0" w:space="0" w:color="auto"/>
                                <w:right w:val="none" w:sz="0" w:space="0" w:color="auto"/>
                              </w:divBdr>
                              <w:divsChild>
                                <w:div w:id="15963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378456">
          <w:marLeft w:val="0"/>
          <w:marRight w:val="0"/>
          <w:marTop w:val="0"/>
          <w:marBottom w:val="0"/>
          <w:divBdr>
            <w:top w:val="none" w:sz="0" w:space="0" w:color="auto"/>
            <w:left w:val="none" w:sz="0" w:space="0" w:color="auto"/>
            <w:bottom w:val="none" w:sz="0" w:space="0" w:color="auto"/>
            <w:right w:val="none" w:sz="0" w:space="0" w:color="auto"/>
          </w:divBdr>
          <w:divsChild>
            <w:div w:id="397096985">
              <w:marLeft w:val="0"/>
              <w:marRight w:val="0"/>
              <w:marTop w:val="0"/>
              <w:marBottom w:val="0"/>
              <w:divBdr>
                <w:top w:val="none" w:sz="0" w:space="0" w:color="auto"/>
                <w:left w:val="none" w:sz="0" w:space="0" w:color="auto"/>
                <w:bottom w:val="none" w:sz="0" w:space="0" w:color="auto"/>
                <w:right w:val="none" w:sz="0" w:space="0" w:color="auto"/>
              </w:divBdr>
              <w:divsChild>
                <w:div w:id="61102237">
                  <w:marLeft w:val="0"/>
                  <w:marRight w:val="0"/>
                  <w:marTop w:val="0"/>
                  <w:marBottom w:val="0"/>
                  <w:divBdr>
                    <w:top w:val="none" w:sz="0" w:space="0" w:color="auto"/>
                    <w:left w:val="none" w:sz="0" w:space="0" w:color="auto"/>
                    <w:bottom w:val="none" w:sz="0" w:space="0" w:color="auto"/>
                    <w:right w:val="none" w:sz="0" w:space="0" w:color="auto"/>
                  </w:divBdr>
                  <w:divsChild>
                    <w:div w:id="314996511">
                      <w:marLeft w:val="0"/>
                      <w:marRight w:val="0"/>
                      <w:marTop w:val="0"/>
                      <w:marBottom w:val="0"/>
                      <w:divBdr>
                        <w:top w:val="none" w:sz="0" w:space="0" w:color="auto"/>
                        <w:left w:val="none" w:sz="0" w:space="0" w:color="auto"/>
                        <w:bottom w:val="none" w:sz="0" w:space="0" w:color="auto"/>
                        <w:right w:val="none" w:sz="0" w:space="0" w:color="auto"/>
                      </w:divBdr>
                      <w:divsChild>
                        <w:div w:id="18333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20255">
      <w:bodyDiv w:val="1"/>
      <w:marLeft w:val="0"/>
      <w:marRight w:val="0"/>
      <w:marTop w:val="0"/>
      <w:marBottom w:val="0"/>
      <w:divBdr>
        <w:top w:val="none" w:sz="0" w:space="0" w:color="auto"/>
        <w:left w:val="none" w:sz="0" w:space="0" w:color="auto"/>
        <w:bottom w:val="none" w:sz="0" w:space="0" w:color="auto"/>
        <w:right w:val="none" w:sz="0" w:space="0" w:color="auto"/>
      </w:divBdr>
    </w:div>
    <w:div w:id="623119197">
      <w:bodyDiv w:val="1"/>
      <w:marLeft w:val="0"/>
      <w:marRight w:val="0"/>
      <w:marTop w:val="0"/>
      <w:marBottom w:val="0"/>
      <w:divBdr>
        <w:top w:val="none" w:sz="0" w:space="0" w:color="auto"/>
        <w:left w:val="none" w:sz="0" w:space="0" w:color="auto"/>
        <w:bottom w:val="none" w:sz="0" w:space="0" w:color="auto"/>
        <w:right w:val="none" w:sz="0" w:space="0" w:color="auto"/>
      </w:divBdr>
    </w:div>
    <w:div w:id="665783537">
      <w:bodyDiv w:val="1"/>
      <w:marLeft w:val="0"/>
      <w:marRight w:val="0"/>
      <w:marTop w:val="0"/>
      <w:marBottom w:val="0"/>
      <w:divBdr>
        <w:top w:val="none" w:sz="0" w:space="0" w:color="auto"/>
        <w:left w:val="none" w:sz="0" w:space="0" w:color="auto"/>
        <w:bottom w:val="none" w:sz="0" w:space="0" w:color="auto"/>
        <w:right w:val="none" w:sz="0" w:space="0" w:color="auto"/>
      </w:divBdr>
    </w:div>
    <w:div w:id="725297079">
      <w:bodyDiv w:val="1"/>
      <w:marLeft w:val="0"/>
      <w:marRight w:val="0"/>
      <w:marTop w:val="0"/>
      <w:marBottom w:val="0"/>
      <w:divBdr>
        <w:top w:val="none" w:sz="0" w:space="0" w:color="auto"/>
        <w:left w:val="none" w:sz="0" w:space="0" w:color="auto"/>
        <w:bottom w:val="none" w:sz="0" w:space="0" w:color="auto"/>
        <w:right w:val="none" w:sz="0" w:space="0" w:color="auto"/>
      </w:divBdr>
    </w:div>
    <w:div w:id="881674376">
      <w:bodyDiv w:val="1"/>
      <w:marLeft w:val="0"/>
      <w:marRight w:val="0"/>
      <w:marTop w:val="0"/>
      <w:marBottom w:val="0"/>
      <w:divBdr>
        <w:top w:val="none" w:sz="0" w:space="0" w:color="auto"/>
        <w:left w:val="none" w:sz="0" w:space="0" w:color="auto"/>
        <w:bottom w:val="none" w:sz="0" w:space="0" w:color="auto"/>
        <w:right w:val="none" w:sz="0" w:space="0" w:color="auto"/>
      </w:divBdr>
    </w:div>
    <w:div w:id="933241200">
      <w:bodyDiv w:val="1"/>
      <w:marLeft w:val="0"/>
      <w:marRight w:val="0"/>
      <w:marTop w:val="0"/>
      <w:marBottom w:val="0"/>
      <w:divBdr>
        <w:top w:val="none" w:sz="0" w:space="0" w:color="auto"/>
        <w:left w:val="none" w:sz="0" w:space="0" w:color="auto"/>
        <w:bottom w:val="none" w:sz="0" w:space="0" w:color="auto"/>
        <w:right w:val="none" w:sz="0" w:space="0" w:color="auto"/>
      </w:divBdr>
      <w:divsChild>
        <w:div w:id="1958443114">
          <w:marLeft w:val="0"/>
          <w:marRight w:val="0"/>
          <w:marTop w:val="0"/>
          <w:marBottom w:val="0"/>
          <w:divBdr>
            <w:top w:val="none" w:sz="0" w:space="0" w:color="auto"/>
            <w:left w:val="none" w:sz="0" w:space="0" w:color="auto"/>
            <w:bottom w:val="none" w:sz="0" w:space="0" w:color="auto"/>
            <w:right w:val="none" w:sz="0" w:space="0" w:color="auto"/>
          </w:divBdr>
        </w:div>
        <w:div w:id="448398993">
          <w:marLeft w:val="0"/>
          <w:marRight w:val="0"/>
          <w:marTop w:val="0"/>
          <w:marBottom w:val="0"/>
          <w:divBdr>
            <w:top w:val="none" w:sz="0" w:space="0" w:color="auto"/>
            <w:left w:val="none" w:sz="0" w:space="0" w:color="auto"/>
            <w:bottom w:val="none" w:sz="0" w:space="0" w:color="auto"/>
            <w:right w:val="none" w:sz="0" w:space="0" w:color="auto"/>
          </w:divBdr>
        </w:div>
        <w:div w:id="1697735713">
          <w:marLeft w:val="0"/>
          <w:marRight w:val="0"/>
          <w:marTop w:val="0"/>
          <w:marBottom w:val="0"/>
          <w:divBdr>
            <w:top w:val="none" w:sz="0" w:space="0" w:color="auto"/>
            <w:left w:val="none" w:sz="0" w:space="0" w:color="auto"/>
            <w:bottom w:val="none" w:sz="0" w:space="0" w:color="auto"/>
            <w:right w:val="none" w:sz="0" w:space="0" w:color="auto"/>
          </w:divBdr>
        </w:div>
        <w:div w:id="1757556621">
          <w:marLeft w:val="0"/>
          <w:marRight w:val="0"/>
          <w:marTop w:val="0"/>
          <w:marBottom w:val="0"/>
          <w:divBdr>
            <w:top w:val="none" w:sz="0" w:space="0" w:color="auto"/>
            <w:left w:val="none" w:sz="0" w:space="0" w:color="auto"/>
            <w:bottom w:val="none" w:sz="0" w:space="0" w:color="auto"/>
            <w:right w:val="none" w:sz="0" w:space="0" w:color="auto"/>
          </w:divBdr>
        </w:div>
        <w:div w:id="1047217220">
          <w:marLeft w:val="0"/>
          <w:marRight w:val="0"/>
          <w:marTop w:val="0"/>
          <w:marBottom w:val="0"/>
          <w:divBdr>
            <w:top w:val="none" w:sz="0" w:space="0" w:color="auto"/>
            <w:left w:val="none" w:sz="0" w:space="0" w:color="auto"/>
            <w:bottom w:val="none" w:sz="0" w:space="0" w:color="auto"/>
            <w:right w:val="none" w:sz="0" w:space="0" w:color="auto"/>
          </w:divBdr>
        </w:div>
        <w:div w:id="2125537981">
          <w:marLeft w:val="0"/>
          <w:marRight w:val="0"/>
          <w:marTop w:val="0"/>
          <w:marBottom w:val="0"/>
          <w:divBdr>
            <w:top w:val="none" w:sz="0" w:space="0" w:color="auto"/>
            <w:left w:val="none" w:sz="0" w:space="0" w:color="auto"/>
            <w:bottom w:val="none" w:sz="0" w:space="0" w:color="auto"/>
            <w:right w:val="none" w:sz="0" w:space="0" w:color="auto"/>
          </w:divBdr>
        </w:div>
        <w:div w:id="1226720523">
          <w:marLeft w:val="0"/>
          <w:marRight w:val="0"/>
          <w:marTop w:val="0"/>
          <w:marBottom w:val="0"/>
          <w:divBdr>
            <w:top w:val="none" w:sz="0" w:space="0" w:color="auto"/>
            <w:left w:val="none" w:sz="0" w:space="0" w:color="auto"/>
            <w:bottom w:val="none" w:sz="0" w:space="0" w:color="auto"/>
            <w:right w:val="none" w:sz="0" w:space="0" w:color="auto"/>
          </w:divBdr>
        </w:div>
        <w:div w:id="1241791148">
          <w:marLeft w:val="0"/>
          <w:marRight w:val="0"/>
          <w:marTop w:val="0"/>
          <w:marBottom w:val="0"/>
          <w:divBdr>
            <w:top w:val="none" w:sz="0" w:space="0" w:color="auto"/>
            <w:left w:val="none" w:sz="0" w:space="0" w:color="auto"/>
            <w:bottom w:val="none" w:sz="0" w:space="0" w:color="auto"/>
            <w:right w:val="none" w:sz="0" w:space="0" w:color="auto"/>
          </w:divBdr>
        </w:div>
        <w:div w:id="1701541572">
          <w:marLeft w:val="0"/>
          <w:marRight w:val="0"/>
          <w:marTop w:val="0"/>
          <w:marBottom w:val="0"/>
          <w:divBdr>
            <w:top w:val="none" w:sz="0" w:space="0" w:color="auto"/>
            <w:left w:val="none" w:sz="0" w:space="0" w:color="auto"/>
            <w:bottom w:val="none" w:sz="0" w:space="0" w:color="auto"/>
            <w:right w:val="none" w:sz="0" w:space="0" w:color="auto"/>
          </w:divBdr>
        </w:div>
        <w:div w:id="1858537428">
          <w:marLeft w:val="0"/>
          <w:marRight w:val="0"/>
          <w:marTop w:val="0"/>
          <w:marBottom w:val="0"/>
          <w:divBdr>
            <w:top w:val="none" w:sz="0" w:space="0" w:color="auto"/>
            <w:left w:val="none" w:sz="0" w:space="0" w:color="auto"/>
            <w:bottom w:val="none" w:sz="0" w:space="0" w:color="auto"/>
            <w:right w:val="none" w:sz="0" w:space="0" w:color="auto"/>
          </w:divBdr>
        </w:div>
        <w:div w:id="1399011804">
          <w:marLeft w:val="0"/>
          <w:marRight w:val="0"/>
          <w:marTop w:val="0"/>
          <w:marBottom w:val="0"/>
          <w:divBdr>
            <w:top w:val="none" w:sz="0" w:space="0" w:color="auto"/>
            <w:left w:val="none" w:sz="0" w:space="0" w:color="auto"/>
            <w:bottom w:val="none" w:sz="0" w:space="0" w:color="auto"/>
            <w:right w:val="none" w:sz="0" w:space="0" w:color="auto"/>
          </w:divBdr>
        </w:div>
      </w:divsChild>
    </w:div>
    <w:div w:id="939797118">
      <w:bodyDiv w:val="1"/>
      <w:marLeft w:val="0"/>
      <w:marRight w:val="0"/>
      <w:marTop w:val="0"/>
      <w:marBottom w:val="0"/>
      <w:divBdr>
        <w:top w:val="none" w:sz="0" w:space="0" w:color="auto"/>
        <w:left w:val="none" w:sz="0" w:space="0" w:color="auto"/>
        <w:bottom w:val="none" w:sz="0" w:space="0" w:color="auto"/>
        <w:right w:val="none" w:sz="0" w:space="0" w:color="auto"/>
      </w:divBdr>
      <w:divsChild>
        <w:div w:id="992954001">
          <w:marLeft w:val="0"/>
          <w:marRight w:val="0"/>
          <w:marTop w:val="0"/>
          <w:marBottom w:val="0"/>
          <w:divBdr>
            <w:top w:val="none" w:sz="0" w:space="0" w:color="auto"/>
            <w:left w:val="none" w:sz="0" w:space="0" w:color="auto"/>
            <w:bottom w:val="none" w:sz="0" w:space="0" w:color="auto"/>
            <w:right w:val="none" w:sz="0" w:space="0" w:color="auto"/>
          </w:divBdr>
          <w:divsChild>
            <w:div w:id="1164321255">
              <w:marLeft w:val="0"/>
              <w:marRight w:val="0"/>
              <w:marTop w:val="0"/>
              <w:marBottom w:val="0"/>
              <w:divBdr>
                <w:top w:val="none" w:sz="0" w:space="0" w:color="auto"/>
                <w:left w:val="none" w:sz="0" w:space="0" w:color="auto"/>
                <w:bottom w:val="none" w:sz="0" w:space="0" w:color="auto"/>
                <w:right w:val="none" w:sz="0" w:space="0" w:color="auto"/>
              </w:divBdr>
              <w:divsChild>
                <w:div w:id="43330445">
                  <w:marLeft w:val="0"/>
                  <w:marRight w:val="0"/>
                  <w:marTop w:val="0"/>
                  <w:marBottom w:val="0"/>
                  <w:divBdr>
                    <w:top w:val="none" w:sz="0" w:space="0" w:color="auto"/>
                    <w:left w:val="none" w:sz="0" w:space="0" w:color="auto"/>
                    <w:bottom w:val="none" w:sz="0" w:space="0" w:color="auto"/>
                    <w:right w:val="none" w:sz="0" w:space="0" w:color="auto"/>
                  </w:divBdr>
                  <w:divsChild>
                    <w:div w:id="447699724">
                      <w:marLeft w:val="0"/>
                      <w:marRight w:val="0"/>
                      <w:marTop w:val="0"/>
                      <w:marBottom w:val="0"/>
                      <w:divBdr>
                        <w:top w:val="none" w:sz="0" w:space="0" w:color="auto"/>
                        <w:left w:val="none" w:sz="0" w:space="0" w:color="auto"/>
                        <w:bottom w:val="none" w:sz="0" w:space="0" w:color="auto"/>
                        <w:right w:val="none" w:sz="0" w:space="0" w:color="auto"/>
                      </w:divBdr>
                      <w:divsChild>
                        <w:div w:id="393048022">
                          <w:marLeft w:val="0"/>
                          <w:marRight w:val="0"/>
                          <w:marTop w:val="0"/>
                          <w:marBottom w:val="0"/>
                          <w:divBdr>
                            <w:top w:val="none" w:sz="0" w:space="0" w:color="auto"/>
                            <w:left w:val="none" w:sz="0" w:space="0" w:color="auto"/>
                            <w:bottom w:val="none" w:sz="0" w:space="0" w:color="auto"/>
                            <w:right w:val="none" w:sz="0" w:space="0" w:color="auto"/>
                          </w:divBdr>
                          <w:divsChild>
                            <w:div w:id="320741786">
                              <w:marLeft w:val="0"/>
                              <w:marRight w:val="300"/>
                              <w:marTop w:val="180"/>
                              <w:marBottom w:val="0"/>
                              <w:divBdr>
                                <w:top w:val="none" w:sz="0" w:space="0" w:color="auto"/>
                                <w:left w:val="none" w:sz="0" w:space="0" w:color="auto"/>
                                <w:bottom w:val="none" w:sz="0" w:space="0" w:color="auto"/>
                                <w:right w:val="none" w:sz="0" w:space="0" w:color="auto"/>
                              </w:divBdr>
                              <w:divsChild>
                                <w:div w:id="17528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62603">
          <w:marLeft w:val="0"/>
          <w:marRight w:val="0"/>
          <w:marTop w:val="0"/>
          <w:marBottom w:val="0"/>
          <w:divBdr>
            <w:top w:val="none" w:sz="0" w:space="0" w:color="auto"/>
            <w:left w:val="none" w:sz="0" w:space="0" w:color="auto"/>
            <w:bottom w:val="none" w:sz="0" w:space="0" w:color="auto"/>
            <w:right w:val="none" w:sz="0" w:space="0" w:color="auto"/>
          </w:divBdr>
          <w:divsChild>
            <w:div w:id="586495994">
              <w:marLeft w:val="0"/>
              <w:marRight w:val="0"/>
              <w:marTop w:val="0"/>
              <w:marBottom w:val="0"/>
              <w:divBdr>
                <w:top w:val="none" w:sz="0" w:space="0" w:color="auto"/>
                <w:left w:val="none" w:sz="0" w:space="0" w:color="auto"/>
                <w:bottom w:val="none" w:sz="0" w:space="0" w:color="auto"/>
                <w:right w:val="none" w:sz="0" w:space="0" w:color="auto"/>
              </w:divBdr>
              <w:divsChild>
                <w:div w:id="1898857324">
                  <w:marLeft w:val="0"/>
                  <w:marRight w:val="0"/>
                  <w:marTop w:val="0"/>
                  <w:marBottom w:val="0"/>
                  <w:divBdr>
                    <w:top w:val="none" w:sz="0" w:space="0" w:color="auto"/>
                    <w:left w:val="none" w:sz="0" w:space="0" w:color="auto"/>
                    <w:bottom w:val="none" w:sz="0" w:space="0" w:color="auto"/>
                    <w:right w:val="none" w:sz="0" w:space="0" w:color="auto"/>
                  </w:divBdr>
                  <w:divsChild>
                    <w:div w:id="1414275991">
                      <w:marLeft w:val="0"/>
                      <w:marRight w:val="0"/>
                      <w:marTop w:val="0"/>
                      <w:marBottom w:val="0"/>
                      <w:divBdr>
                        <w:top w:val="none" w:sz="0" w:space="0" w:color="auto"/>
                        <w:left w:val="none" w:sz="0" w:space="0" w:color="auto"/>
                        <w:bottom w:val="none" w:sz="0" w:space="0" w:color="auto"/>
                        <w:right w:val="none" w:sz="0" w:space="0" w:color="auto"/>
                      </w:divBdr>
                      <w:divsChild>
                        <w:div w:id="10942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577877">
      <w:bodyDiv w:val="1"/>
      <w:marLeft w:val="0"/>
      <w:marRight w:val="0"/>
      <w:marTop w:val="0"/>
      <w:marBottom w:val="0"/>
      <w:divBdr>
        <w:top w:val="none" w:sz="0" w:space="0" w:color="auto"/>
        <w:left w:val="none" w:sz="0" w:space="0" w:color="auto"/>
        <w:bottom w:val="none" w:sz="0" w:space="0" w:color="auto"/>
        <w:right w:val="none" w:sz="0" w:space="0" w:color="auto"/>
      </w:divBdr>
      <w:divsChild>
        <w:div w:id="1551961245">
          <w:marLeft w:val="0"/>
          <w:marRight w:val="0"/>
          <w:marTop w:val="0"/>
          <w:marBottom w:val="0"/>
          <w:divBdr>
            <w:top w:val="none" w:sz="0" w:space="0" w:color="auto"/>
            <w:left w:val="none" w:sz="0" w:space="0" w:color="auto"/>
            <w:bottom w:val="none" w:sz="0" w:space="0" w:color="auto"/>
            <w:right w:val="none" w:sz="0" w:space="0" w:color="auto"/>
          </w:divBdr>
          <w:divsChild>
            <w:div w:id="1374305153">
              <w:marLeft w:val="0"/>
              <w:marRight w:val="0"/>
              <w:marTop w:val="0"/>
              <w:marBottom w:val="0"/>
              <w:divBdr>
                <w:top w:val="none" w:sz="0" w:space="0" w:color="auto"/>
                <w:left w:val="none" w:sz="0" w:space="0" w:color="auto"/>
                <w:bottom w:val="none" w:sz="0" w:space="0" w:color="auto"/>
                <w:right w:val="none" w:sz="0" w:space="0" w:color="auto"/>
              </w:divBdr>
              <w:divsChild>
                <w:div w:id="148594947">
                  <w:marLeft w:val="0"/>
                  <w:marRight w:val="0"/>
                  <w:marTop w:val="0"/>
                  <w:marBottom w:val="0"/>
                  <w:divBdr>
                    <w:top w:val="none" w:sz="0" w:space="0" w:color="auto"/>
                    <w:left w:val="none" w:sz="0" w:space="0" w:color="auto"/>
                    <w:bottom w:val="none" w:sz="0" w:space="0" w:color="auto"/>
                    <w:right w:val="none" w:sz="0" w:space="0" w:color="auto"/>
                  </w:divBdr>
                  <w:divsChild>
                    <w:div w:id="419447396">
                      <w:marLeft w:val="0"/>
                      <w:marRight w:val="0"/>
                      <w:marTop w:val="0"/>
                      <w:marBottom w:val="0"/>
                      <w:divBdr>
                        <w:top w:val="none" w:sz="0" w:space="0" w:color="auto"/>
                        <w:left w:val="none" w:sz="0" w:space="0" w:color="auto"/>
                        <w:bottom w:val="none" w:sz="0" w:space="0" w:color="auto"/>
                        <w:right w:val="none" w:sz="0" w:space="0" w:color="auto"/>
                      </w:divBdr>
                      <w:divsChild>
                        <w:div w:id="1590576737">
                          <w:marLeft w:val="0"/>
                          <w:marRight w:val="0"/>
                          <w:marTop w:val="0"/>
                          <w:marBottom w:val="0"/>
                          <w:divBdr>
                            <w:top w:val="none" w:sz="0" w:space="0" w:color="auto"/>
                            <w:left w:val="none" w:sz="0" w:space="0" w:color="auto"/>
                            <w:bottom w:val="none" w:sz="0" w:space="0" w:color="auto"/>
                            <w:right w:val="none" w:sz="0" w:space="0" w:color="auto"/>
                          </w:divBdr>
                          <w:divsChild>
                            <w:div w:id="1369914318">
                              <w:marLeft w:val="0"/>
                              <w:marRight w:val="300"/>
                              <w:marTop w:val="180"/>
                              <w:marBottom w:val="0"/>
                              <w:divBdr>
                                <w:top w:val="none" w:sz="0" w:space="0" w:color="auto"/>
                                <w:left w:val="none" w:sz="0" w:space="0" w:color="auto"/>
                                <w:bottom w:val="none" w:sz="0" w:space="0" w:color="auto"/>
                                <w:right w:val="none" w:sz="0" w:space="0" w:color="auto"/>
                              </w:divBdr>
                              <w:divsChild>
                                <w:div w:id="1712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28121">
          <w:marLeft w:val="0"/>
          <w:marRight w:val="0"/>
          <w:marTop w:val="0"/>
          <w:marBottom w:val="0"/>
          <w:divBdr>
            <w:top w:val="none" w:sz="0" w:space="0" w:color="auto"/>
            <w:left w:val="none" w:sz="0" w:space="0" w:color="auto"/>
            <w:bottom w:val="none" w:sz="0" w:space="0" w:color="auto"/>
            <w:right w:val="none" w:sz="0" w:space="0" w:color="auto"/>
          </w:divBdr>
          <w:divsChild>
            <w:div w:id="1222787555">
              <w:marLeft w:val="0"/>
              <w:marRight w:val="0"/>
              <w:marTop w:val="0"/>
              <w:marBottom w:val="0"/>
              <w:divBdr>
                <w:top w:val="none" w:sz="0" w:space="0" w:color="auto"/>
                <w:left w:val="none" w:sz="0" w:space="0" w:color="auto"/>
                <w:bottom w:val="none" w:sz="0" w:space="0" w:color="auto"/>
                <w:right w:val="none" w:sz="0" w:space="0" w:color="auto"/>
              </w:divBdr>
              <w:divsChild>
                <w:div w:id="260072503">
                  <w:marLeft w:val="0"/>
                  <w:marRight w:val="0"/>
                  <w:marTop w:val="0"/>
                  <w:marBottom w:val="0"/>
                  <w:divBdr>
                    <w:top w:val="none" w:sz="0" w:space="0" w:color="auto"/>
                    <w:left w:val="none" w:sz="0" w:space="0" w:color="auto"/>
                    <w:bottom w:val="none" w:sz="0" w:space="0" w:color="auto"/>
                    <w:right w:val="none" w:sz="0" w:space="0" w:color="auto"/>
                  </w:divBdr>
                  <w:divsChild>
                    <w:div w:id="421032865">
                      <w:marLeft w:val="0"/>
                      <w:marRight w:val="0"/>
                      <w:marTop w:val="0"/>
                      <w:marBottom w:val="0"/>
                      <w:divBdr>
                        <w:top w:val="none" w:sz="0" w:space="0" w:color="auto"/>
                        <w:left w:val="none" w:sz="0" w:space="0" w:color="auto"/>
                        <w:bottom w:val="none" w:sz="0" w:space="0" w:color="auto"/>
                        <w:right w:val="none" w:sz="0" w:space="0" w:color="auto"/>
                      </w:divBdr>
                      <w:divsChild>
                        <w:div w:id="20258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84292">
      <w:bodyDiv w:val="1"/>
      <w:marLeft w:val="0"/>
      <w:marRight w:val="0"/>
      <w:marTop w:val="0"/>
      <w:marBottom w:val="0"/>
      <w:divBdr>
        <w:top w:val="none" w:sz="0" w:space="0" w:color="auto"/>
        <w:left w:val="none" w:sz="0" w:space="0" w:color="auto"/>
        <w:bottom w:val="none" w:sz="0" w:space="0" w:color="auto"/>
        <w:right w:val="none" w:sz="0" w:space="0" w:color="auto"/>
      </w:divBdr>
    </w:div>
    <w:div w:id="1065956542">
      <w:bodyDiv w:val="1"/>
      <w:marLeft w:val="0"/>
      <w:marRight w:val="0"/>
      <w:marTop w:val="0"/>
      <w:marBottom w:val="0"/>
      <w:divBdr>
        <w:top w:val="none" w:sz="0" w:space="0" w:color="auto"/>
        <w:left w:val="none" w:sz="0" w:space="0" w:color="auto"/>
        <w:bottom w:val="none" w:sz="0" w:space="0" w:color="auto"/>
        <w:right w:val="none" w:sz="0" w:space="0" w:color="auto"/>
      </w:divBdr>
    </w:div>
    <w:div w:id="1117678463">
      <w:bodyDiv w:val="1"/>
      <w:marLeft w:val="0"/>
      <w:marRight w:val="0"/>
      <w:marTop w:val="0"/>
      <w:marBottom w:val="0"/>
      <w:divBdr>
        <w:top w:val="none" w:sz="0" w:space="0" w:color="auto"/>
        <w:left w:val="none" w:sz="0" w:space="0" w:color="auto"/>
        <w:bottom w:val="none" w:sz="0" w:space="0" w:color="auto"/>
        <w:right w:val="none" w:sz="0" w:space="0" w:color="auto"/>
      </w:divBdr>
      <w:divsChild>
        <w:div w:id="1420710434">
          <w:marLeft w:val="0"/>
          <w:marRight w:val="0"/>
          <w:marTop w:val="0"/>
          <w:marBottom w:val="0"/>
          <w:divBdr>
            <w:top w:val="none" w:sz="0" w:space="0" w:color="auto"/>
            <w:left w:val="none" w:sz="0" w:space="0" w:color="auto"/>
            <w:bottom w:val="none" w:sz="0" w:space="0" w:color="auto"/>
            <w:right w:val="none" w:sz="0" w:space="0" w:color="auto"/>
          </w:divBdr>
          <w:divsChild>
            <w:div w:id="357901130">
              <w:marLeft w:val="0"/>
              <w:marRight w:val="0"/>
              <w:marTop w:val="0"/>
              <w:marBottom w:val="0"/>
              <w:divBdr>
                <w:top w:val="none" w:sz="0" w:space="0" w:color="auto"/>
                <w:left w:val="none" w:sz="0" w:space="0" w:color="auto"/>
                <w:bottom w:val="none" w:sz="0" w:space="0" w:color="auto"/>
                <w:right w:val="none" w:sz="0" w:space="0" w:color="auto"/>
              </w:divBdr>
              <w:divsChild>
                <w:div w:id="361134236">
                  <w:marLeft w:val="0"/>
                  <w:marRight w:val="0"/>
                  <w:marTop w:val="0"/>
                  <w:marBottom w:val="0"/>
                  <w:divBdr>
                    <w:top w:val="none" w:sz="0" w:space="0" w:color="auto"/>
                    <w:left w:val="none" w:sz="0" w:space="0" w:color="auto"/>
                    <w:bottom w:val="none" w:sz="0" w:space="0" w:color="auto"/>
                    <w:right w:val="none" w:sz="0" w:space="0" w:color="auto"/>
                  </w:divBdr>
                  <w:divsChild>
                    <w:div w:id="949748720">
                      <w:marLeft w:val="0"/>
                      <w:marRight w:val="0"/>
                      <w:marTop w:val="0"/>
                      <w:marBottom w:val="0"/>
                      <w:divBdr>
                        <w:top w:val="none" w:sz="0" w:space="0" w:color="auto"/>
                        <w:left w:val="none" w:sz="0" w:space="0" w:color="auto"/>
                        <w:bottom w:val="none" w:sz="0" w:space="0" w:color="auto"/>
                        <w:right w:val="none" w:sz="0" w:space="0" w:color="auto"/>
                      </w:divBdr>
                      <w:divsChild>
                        <w:div w:id="2046785873">
                          <w:marLeft w:val="0"/>
                          <w:marRight w:val="0"/>
                          <w:marTop w:val="0"/>
                          <w:marBottom w:val="0"/>
                          <w:divBdr>
                            <w:top w:val="none" w:sz="0" w:space="0" w:color="auto"/>
                            <w:left w:val="none" w:sz="0" w:space="0" w:color="auto"/>
                            <w:bottom w:val="none" w:sz="0" w:space="0" w:color="auto"/>
                            <w:right w:val="none" w:sz="0" w:space="0" w:color="auto"/>
                          </w:divBdr>
                          <w:divsChild>
                            <w:div w:id="1751150493">
                              <w:marLeft w:val="0"/>
                              <w:marRight w:val="300"/>
                              <w:marTop w:val="180"/>
                              <w:marBottom w:val="0"/>
                              <w:divBdr>
                                <w:top w:val="none" w:sz="0" w:space="0" w:color="auto"/>
                                <w:left w:val="none" w:sz="0" w:space="0" w:color="auto"/>
                                <w:bottom w:val="none" w:sz="0" w:space="0" w:color="auto"/>
                                <w:right w:val="none" w:sz="0" w:space="0" w:color="auto"/>
                              </w:divBdr>
                              <w:divsChild>
                                <w:div w:id="5958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20304">
          <w:marLeft w:val="0"/>
          <w:marRight w:val="0"/>
          <w:marTop w:val="0"/>
          <w:marBottom w:val="0"/>
          <w:divBdr>
            <w:top w:val="none" w:sz="0" w:space="0" w:color="auto"/>
            <w:left w:val="none" w:sz="0" w:space="0" w:color="auto"/>
            <w:bottom w:val="none" w:sz="0" w:space="0" w:color="auto"/>
            <w:right w:val="none" w:sz="0" w:space="0" w:color="auto"/>
          </w:divBdr>
          <w:divsChild>
            <w:div w:id="75447723">
              <w:marLeft w:val="0"/>
              <w:marRight w:val="0"/>
              <w:marTop w:val="0"/>
              <w:marBottom w:val="0"/>
              <w:divBdr>
                <w:top w:val="none" w:sz="0" w:space="0" w:color="auto"/>
                <w:left w:val="none" w:sz="0" w:space="0" w:color="auto"/>
                <w:bottom w:val="none" w:sz="0" w:space="0" w:color="auto"/>
                <w:right w:val="none" w:sz="0" w:space="0" w:color="auto"/>
              </w:divBdr>
              <w:divsChild>
                <w:div w:id="327055902">
                  <w:marLeft w:val="0"/>
                  <w:marRight w:val="0"/>
                  <w:marTop w:val="0"/>
                  <w:marBottom w:val="0"/>
                  <w:divBdr>
                    <w:top w:val="none" w:sz="0" w:space="0" w:color="auto"/>
                    <w:left w:val="none" w:sz="0" w:space="0" w:color="auto"/>
                    <w:bottom w:val="none" w:sz="0" w:space="0" w:color="auto"/>
                    <w:right w:val="none" w:sz="0" w:space="0" w:color="auto"/>
                  </w:divBdr>
                  <w:divsChild>
                    <w:div w:id="1136021520">
                      <w:marLeft w:val="0"/>
                      <w:marRight w:val="0"/>
                      <w:marTop w:val="0"/>
                      <w:marBottom w:val="0"/>
                      <w:divBdr>
                        <w:top w:val="none" w:sz="0" w:space="0" w:color="auto"/>
                        <w:left w:val="none" w:sz="0" w:space="0" w:color="auto"/>
                        <w:bottom w:val="none" w:sz="0" w:space="0" w:color="auto"/>
                        <w:right w:val="none" w:sz="0" w:space="0" w:color="auto"/>
                      </w:divBdr>
                      <w:divsChild>
                        <w:div w:id="141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670209">
      <w:bodyDiv w:val="1"/>
      <w:marLeft w:val="0"/>
      <w:marRight w:val="0"/>
      <w:marTop w:val="0"/>
      <w:marBottom w:val="0"/>
      <w:divBdr>
        <w:top w:val="none" w:sz="0" w:space="0" w:color="auto"/>
        <w:left w:val="none" w:sz="0" w:space="0" w:color="auto"/>
        <w:bottom w:val="none" w:sz="0" w:space="0" w:color="auto"/>
        <w:right w:val="none" w:sz="0" w:space="0" w:color="auto"/>
      </w:divBdr>
      <w:divsChild>
        <w:div w:id="1011226149">
          <w:marLeft w:val="0"/>
          <w:marRight w:val="0"/>
          <w:marTop w:val="0"/>
          <w:marBottom w:val="0"/>
          <w:divBdr>
            <w:top w:val="none" w:sz="0" w:space="0" w:color="auto"/>
            <w:left w:val="none" w:sz="0" w:space="0" w:color="auto"/>
            <w:bottom w:val="none" w:sz="0" w:space="0" w:color="auto"/>
            <w:right w:val="none" w:sz="0" w:space="0" w:color="auto"/>
          </w:divBdr>
          <w:divsChild>
            <w:div w:id="229735241">
              <w:marLeft w:val="0"/>
              <w:marRight w:val="0"/>
              <w:marTop w:val="0"/>
              <w:marBottom w:val="0"/>
              <w:divBdr>
                <w:top w:val="none" w:sz="0" w:space="0" w:color="auto"/>
                <w:left w:val="none" w:sz="0" w:space="0" w:color="auto"/>
                <w:bottom w:val="none" w:sz="0" w:space="0" w:color="auto"/>
                <w:right w:val="none" w:sz="0" w:space="0" w:color="auto"/>
              </w:divBdr>
              <w:divsChild>
                <w:div w:id="1915889670">
                  <w:marLeft w:val="0"/>
                  <w:marRight w:val="0"/>
                  <w:marTop w:val="0"/>
                  <w:marBottom w:val="0"/>
                  <w:divBdr>
                    <w:top w:val="none" w:sz="0" w:space="0" w:color="auto"/>
                    <w:left w:val="none" w:sz="0" w:space="0" w:color="auto"/>
                    <w:bottom w:val="none" w:sz="0" w:space="0" w:color="auto"/>
                    <w:right w:val="none" w:sz="0" w:space="0" w:color="auto"/>
                  </w:divBdr>
                  <w:divsChild>
                    <w:div w:id="854810680">
                      <w:marLeft w:val="0"/>
                      <w:marRight w:val="0"/>
                      <w:marTop w:val="0"/>
                      <w:marBottom w:val="0"/>
                      <w:divBdr>
                        <w:top w:val="none" w:sz="0" w:space="0" w:color="auto"/>
                        <w:left w:val="none" w:sz="0" w:space="0" w:color="auto"/>
                        <w:bottom w:val="none" w:sz="0" w:space="0" w:color="auto"/>
                        <w:right w:val="none" w:sz="0" w:space="0" w:color="auto"/>
                      </w:divBdr>
                      <w:divsChild>
                        <w:div w:id="1627346317">
                          <w:marLeft w:val="0"/>
                          <w:marRight w:val="0"/>
                          <w:marTop w:val="0"/>
                          <w:marBottom w:val="0"/>
                          <w:divBdr>
                            <w:top w:val="none" w:sz="0" w:space="0" w:color="auto"/>
                            <w:left w:val="none" w:sz="0" w:space="0" w:color="auto"/>
                            <w:bottom w:val="none" w:sz="0" w:space="0" w:color="auto"/>
                            <w:right w:val="none" w:sz="0" w:space="0" w:color="auto"/>
                          </w:divBdr>
                          <w:divsChild>
                            <w:div w:id="128282364">
                              <w:marLeft w:val="0"/>
                              <w:marRight w:val="300"/>
                              <w:marTop w:val="180"/>
                              <w:marBottom w:val="0"/>
                              <w:divBdr>
                                <w:top w:val="none" w:sz="0" w:space="0" w:color="auto"/>
                                <w:left w:val="none" w:sz="0" w:space="0" w:color="auto"/>
                                <w:bottom w:val="none" w:sz="0" w:space="0" w:color="auto"/>
                                <w:right w:val="none" w:sz="0" w:space="0" w:color="auto"/>
                              </w:divBdr>
                              <w:divsChild>
                                <w:div w:id="17461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039416">
          <w:marLeft w:val="0"/>
          <w:marRight w:val="0"/>
          <w:marTop w:val="0"/>
          <w:marBottom w:val="0"/>
          <w:divBdr>
            <w:top w:val="none" w:sz="0" w:space="0" w:color="auto"/>
            <w:left w:val="none" w:sz="0" w:space="0" w:color="auto"/>
            <w:bottom w:val="none" w:sz="0" w:space="0" w:color="auto"/>
            <w:right w:val="none" w:sz="0" w:space="0" w:color="auto"/>
          </w:divBdr>
          <w:divsChild>
            <w:div w:id="1365011426">
              <w:marLeft w:val="0"/>
              <w:marRight w:val="0"/>
              <w:marTop w:val="0"/>
              <w:marBottom w:val="0"/>
              <w:divBdr>
                <w:top w:val="none" w:sz="0" w:space="0" w:color="auto"/>
                <w:left w:val="none" w:sz="0" w:space="0" w:color="auto"/>
                <w:bottom w:val="none" w:sz="0" w:space="0" w:color="auto"/>
                <w:right w:val="none" w:sz="0" w:space="0" w:color="auto"/>
              </w:divBdr>
              <w:divsChild>
                <w:div w:id="362170815">
                  <w:marLeft w:val="0"/>
                  <w:marRight w:val="0"/>
                  <w:marTop w:val="0"/>
                  <w:marBottom w:val="0"/>
                  <w:divBdr>
                    <w:top w:val="none" w:sz="0" w:space="0" w:color="auto"/>
                    <w:left w:val="none" w:sz="0" w:space="0" w:color="auto"/>
                    <w:bottom w:val="none" w:sz="0" w:space="0" w:color="auto"/>
                    <w:right w:val="none" w:sz="0" w:space="0" w:color="auto"/>
                  </w:divBdr>
                  <w:divsChild>
                    <w:div w:id="2005355182">
                      <w:marLeft w:val="0"/>
                      <w:marRight w:val="0"/>
                      <w:marTop w:val="0"/>
                      <w:marBottom w:val="0"/>
                      <w:divBdr>
                        <w:top w:val="none" w:sz="0" w:space="0" w:color="auto"/>
                        <w:left w:val="none" w:sz="0" w:space="0" w:color="auto"/>
                        <w:bottom w:val="none" w:sz="0" w:space="0" w:color="auto"/>
                        <w:right w:val="none" w:sz="0" w:space="0" w:color="auto"/>
                      </w:divBdr>
                      <w:divsChild>
                        <w:div w:id="35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597252">
      <w:bodyDiv w:val="1"/>
      <w:marLeft w:val="0"/>
      <w:marRight w:val="0"/>
      <w:marTop w:val="0"/>
      <w:marBottom w:val="0"/>
      <w:divBdr>
        <w:top w:val="none" w:sz="0" w:space="0" w:color="auto"/>
        <w:left w:val="none" w:sz="0" w:space="0" w:color="auto"/>
        <w:bottom w:val="none" w:sz="0" w:space="0" w:color="auto"/>
        <w:right w:val="none" w:sz="0" w:space="0" w:color="auto"/>
      </w:divBdr>
    </w:div>
    <w:div w:id="1344865124">
      <w:bodyDiv w:val="1"/>
      <w:marLeft w:val="0"/>
      <w:marRight w:val="0"/>
      <w:marTop w:val="0"/>
      <w:marBottom w:val="0"/>
      <w:divBdr>
        <w:top w:val="none" w:sz="0" w:space="0" w:color="auto"/>
        <w:left w:val="none" w:sz="0" w:space="0" w:color="auto"/>
        <w:bottom w:val="none" w:sz="0" w:space="0" w:color="auto"/>
        <w:right w:val="none" w:sz="0" w:space="0" w:color="auto"/>
      </w:divBdr>
    </w:div>
    <w:div w:id="1431899075">
      <w:bodyDiv w:val="1"/>
      <w:marLeft w:val="0"/>
      <w:marRight w:val="0"/>
      <w:marTop w:val="0"/>
      <w:marBottom w:val="0"/>
      <w:divBdr>
        <w:top w:val="none" w:sz="0" w:space="0" w:color="auto"/>
        <w:left w:val="none" w:sz="0" w:space="0" w:color="auto"/>
        <w:bottom w:val="none" w:sz="0" w:space="0" w:color="auto"/>
        <w:right w:val="none" w:sz="0" w:space="0" w:color="auto"/>
      </w:divBdr>
    </w:div>
    <w:div w:id="1433863865">
      <w:bodyDiv w:val="1"/>
      <w:marLeft w:val="0"/>
      <w:marRight w:val="0"/>
      <w:marTop w:val="0"/>
      <w:marBottom w:val="0"/>
      <w:divBdr>
        <w:top w:val="none" w:sz="0" w:space="0" w:color="auto"/>
        <w:left w:val="none" w:sz="0" w:space="0" w:color="auto"/>
        <w:bottom w:val="none" w:sz="0" w:space="0" w:color="auto"/>
        <w:right w:val="none" w:sz="0" w:space="0" w:color="auto"/>
      </w:divBdr>
      <w:divsChild>
        <w:div w:id="1695568159">
          <w:marLeft w:val="0"/>
          <w:marRight w:val="0"/>
          <w:marTop w:val="0"/>
          <w:marBottom w:val="0"/>
          <w:divBdr>
            <w:top w:val="none" w:sz="0" w:space="0" w:color="auto"/>
            <w:left w:val="none" w:sz="0" w:space="0" w:color="auto"/>
            <w:bottom w:val="none" w:sz="0" w:space="0" w:color="auto"/>
            <w:right w:val="none" w:sz="0" w:space="0" w:color="auto"/>
          </w:divBdr>
          <w:divsChild>
            <w:div w:id="734204925">
              <w:marLeft w:val="0"/>
              <w:marRight w:val="0"/>
              <w:marTop w:val="0"/>
              <w:marBottom w:val="0"/>
              <w:divBdr>
                <w:top w:val="none" w:sz="0" w:space="0" w:color="auto"/>
                <w:left w:val="none" w:sz="0" w:space="0" w:color="auto"/>
                <w:bottom w:val="none" w:sz="0" w:space="0" w:color="auto"/>
                <w:right w:val="none" w:sz="0" w:space="0" w:color="auto"/>
              </w:divBdr>
              <w:divsChild>
                <w:div w:id="1018581566">
                  <w:marLeft w:val="0"/>
                  <w:marRight w:val="0"/>
                  <w:marTop w:val="0"/>
                  <w:marBottom w:val="0"/>
                  <w:divBdr>
                    <w:top w:val="none" w:sz="0" w:space="0" w:color="auto"/>
                    <w:left w:val="none" w:sz="0" w:space="0" w:color="auto"/>
                    <w:bottom w:val="none" w:sz="0" w:space="0" w:color="auto"/>
                    <w:right w:val="none" w:sz="0" w:space="0" w:color="auto"/>
                  </w:divBdr>
                  <w:divsChild>
                    <w:div w:id="674648798">
                      <w:marLeft w:val="0"/>
                      <w:marRight w:val="0"/>
                      <w:marTop w:val="0"/>
                      <w:marBottom w:val="0"/>
                      <w:divBdr>
                        <w:top w:val="none" w:sz="0" w:space="0" w:color="auto"/>
                        <w:left w:val="none" w:sz="0" w:space="0" w:color="auto"/>
                        <w:bottom w:val="none" w:sz="0" w:space="0" w:color="auto"/>
                        <w:right w:val="none" w:sz="0" w:space="0" w:color="auto"/>
                      </w:divBdr>
                      <w:divsChild>
                        <w:div w:id="1309701756">
                          <w:marLeft w:val="0"/>
                          <w:marRight w:val="0"/>
                          <w:marTop w:val="0"/>
                          <w:marBottom w:val="0"/>
                          <w:divBdr>
                            <w:top w:val="none" w:sz="0" w:space="0" w:color="auto"/>
                            <w:left w:val="none" w:sz="0" w:space="0" w:color="auto"/>
                            <w:bottom w:val="none" w:sz="0" w:space="0" w:color="auto"/>
                            <w:right w:val="none" w:sz="0" w:space="0" w:color="auto"/>
                          </w:divBdr>
                          <w:divsChild>
                            <w:div w:id="1830558180">
                              <w:marLeft w:val="0"/>
                              <w:marRight w:val="300"/>
                              <w:marTop w:val="180"/>
                              <w:marBottom w:val="0"/>
                              <w:divBdr>
                                <w:top w:val="none" w:sz="0" w:space="0" w:color="auto"/>
                                <w:left w:val="none" w:sz="0" w:space="0" w:color="auto"/>
                                <w:bottom w:val="none" w:sz="0" w:space="0" w:color="auto"/>
                                <w:right w:val="none" w:sz="0" w:space="0" w:color="auto"/>
                              </w:divBdr>
                              <w:divsChild>
                                <w:div w:id="299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16427">
          <w:marLeft w:val="0"/>
          <w:marRight w:val="0"/>
          <w:marTop w:val="0"/>
          <w:marBottom w:val="0"/>
          <w:divBdr>
            <w:top w:val="none" w:sz="0" w:space="0" w:color="auto"/>
            <w:left w:val="none" w:sz="0" w:space="0" w:color="auto"/>
            <w:bottom w:val="none" w:sz="0" w:space="0" w:color="auto"/>
            <w:right w:val="none" w:sz="0" w:space="0" w:color="auto"/>
          </w:divBdr>
          <w:divsChild>
            <w:div w:id="532306169">
              <w:marLeft w:val="0"/>
              <w:marRight w:val="0"/>
              <w:marTop w:val="0"/>
              <w:marBottom w:val="0"/>
              <w:divBdr>
                <w:top w:val="none" w:sz="0" w:space="0" w:color="auto"/>
                <w:left w:val="none" w:sz="0" w:space="0" w:color="auto"/>
                <w:bottom w:val="none" w:sz="0" w:space="0" w:color="auto"/>
                <w:right w:val="none" w:sz="0" w:space="0" w:color="auto"/>
              </w:divBdr>
              <w:divsChild>
                <w:div w:id="1128401304">
                  <w:marLeft w:val="0"/>
                  <w:marRight w:val="0"/>
                  <w:marTop w:val="0"/>
                  <w:marBottom w:val="0"/>
                  <w:divBdr>
                    <w:top w:val="none" w:sz="0" w:space="0" w:color="auto"/>
                    <w:left w:val="none" w:sz="0" w:space="0" w:color="auto"/>
                    <w:bottom w:val="none" w:sz="0" w:space="0" w:color="auto"/>
                    <w:right w:val="none" w:sz="0" w:space="0" w:color="auto"/>
                  </w:divBdr>
                  <w:divsChild>
                    <w:div w:id="1393968098">
                      <w:marLeft w:val="0"/>
                      <w:marRight w:val="0"/>
                      <w:marTop w:val="0"/>
                      <w:marBottom w:val="0"/>
                      <w:divBdr>
                        <w:top w:val="none" w:sz="0" w:space="0" w:color="auto"/>
                        <w:left w:val="none" w:sz="0" w:space="0" w:color="auto"/>
                        <w:bottom w:val="none" w:sz="0" w:space="0" w:color="auto"/>
                        <w:right w:val="none" w:sz="0" w:space="0" w:color="auto"/>
                      </w:divBdr>
                      <w:divsChild>
                        <w:div w:id="8819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551457">
      <w:bodyDiv w:val="1"/>
      <w:marLeft w:val="0"/>
      <w:marRight w:val="0"/>
      <w:marTop w:val="0"/>
      <w:marBottom w:val="0"/>
      <w:divBdr>
        <w:top w:val="none" w:sz="0" w:space="0" w:color="auto"/>
        <w:left w:val="none" w:sz="0" w:space="0" w:color="auto"/>
        <w:bottom w:val="none" w:sz="0" w:space="0" w:color="auto"/>
        <w:right w:val="none" w:sz="0" w:space="0" w:color="auto"/>
      </w:divBdr>
      <w:divsChild>
        <w:div w:id="1779132249">
          <w:marLeft w:val="0"/>
          <w:marRight w:val="0"/>
          <w:marTop w:val="0"/>
          <w:marBottom w:val="0"/>
          <w:divBdr>
            <w:top w:val="none" w:sz="0" w:space="0" w:color="auto"/>
            <w:left w:val="none" w:sz="0" w:space="0" w:color="auto"/>
            <w:bottom w:val="none" w:sz="0" w:space="0" w:color="auto"/>
            <w:right w:val="none" w:sz="0" w:space="0" w:color="auto"/>
          </w:divBdr>
        </w:div>
      </w:divsChild>
    </w:div>
    <w:div w:id="1606041651">
      <w:bodyDiv w:val="1"/>
      <w:marLeft w:val="0"/>
      <w:marRight w:val="0"/>
      <w:marTop w:val="0"/>
      <w:marBottom w:val="0"/>
      <w:divBdr>
        <w:top w:val="none" w:sz="0" w:space="0" w:color="auto"/>
        <w:left w:val="none" w:sz="0" w:space="0" w:color="auto"/>
        <w:bottom w:val="none" w:sz="0" w:space="0" w:color="auto"/>
        <w:right w:val="none" w:sz="0" w:space="0" w:color="auto"/>
      </w:divBdr>
      <w:divsChild>
        <w:div w:id="965354058">
          <w:marLeft w:val="0"/>
          <w:marRight w:val="0"/>
          <w:marTop w:val="0"/>
          <w:marBottom w:val="0"/>
          <w:divBdr>
            <w:top w:val="none" w:sz="0" w:space="0" w:color="auto"/>
            <w:left w:val="none" w:sz="0" w:space="0" w:color="auto"/>
            <w:bottom w:val="none" w:sz="0" w:space="0" w:color="auto"/>
            <w:right w:val="none" w:sz="0" w:space="0" w:color="auto"/>
          </w:divBdr>
          <w:divsChild>
            <w:div w:id="2054577700">
              <w:marLeft w:val="0"/>
              <w:marRight w:val="0"/>
              <w:marTop w:val="0"/>
              <w:marBottom w:val="0"/>
              <w:divBdr>
                <w:top w:val="none" w:sz="0" w:space="0" w:color="auto"/>
                <w:left w:val="none" w:sz="0" w:space="0" w:color="auto"/>
                <w:bottom w:val="none" w:sz="0" w:space="0" w:color="auto"/>
                <w:right w:val="none" w:sz="0" w:space="0" w:color="auto"/>
              </w:divBdr>
              <w:divsChild>
                <w:div w:id="386417899">
                  <w:marLeft w:val="0"/>
                  <w:marRight w:val="0"/>
                  <w:marTop w:val="0"/>
                  <w:marBottom w:val="0"/>
                  <w:divBdr>
                    <w:top w:val="none" w:sz="0" w:space="0" w:color="auto"/>
                    <w:left w:val="none" w:sz="0" w:space="0" w:color="auto"/>
                    <w:bottom w:val="none" w:sz="0" w:space="0" w:color="auto"/>
                    <w:right w:val="none" w:sz="0" w:space="0" w:color="auto"/>
                  </w:divBdr>
                  <w:divsChild>
                    <w:div w:id="97213060">
                      <w:marLeft w:val="0"/>
                      <w:marRight w:val="0"/>
                      <w:marTop w:val="0"/>
                      <w:marBottom w:val="0"/>
                      <w:divBdr>
                        <w:top w:val="none" w:sz="0" w:space="0" w:color="auto"/>
                        <w:left w:val="none" w:sz="0" w:space="0" w:color="auto"/>
                        <w:bottom w:val="none" w:sz="0" w:space="0" w:color="auto"/>
                        <w:right w:val="none" w:sz="0" w:space="0" w:color="auto"/>
                      </w:divBdr>
                      <w:divsChild>
                        <w:div w:id="1539513409">
                          <w:marLeft w:val="0"/>
                          <w:marRight w:val="0"/>
                          <w:marTop w:val="0"/>
                          <w:marBottom w:val="0"/>
                          <w:divBdr>
                            <w:top w:val="none" w:sz="0" w:space="0" w:color="auto"/>
                            <w:left w:val="none" w:sz="0" w:space="0" w:color="auto"/>
                            <w:bottom w:val="none" w:sz="0" w:space="0" w:color="auto"/>
                            <w:right w:val="none" w:sz="0" w:space="0" w:color="auto"/>
                          </w:divBdr>
                          <w:divsChild>
                            <w:div w:id="1194228340">
                              <w:marLeft w:val="0"/>
                              <w:marRight w:val="300"/>
                              <w:marTop w:val="180"/>
                              <w:marBottom w:val="0"/>
                              <w:divBdr>
                                <w:top w:val="none" w:sz="0" w:space="0" w:color="auto"/>
                                <w:left w:val="none" w:sz="0" w:space="0" w:color="auto"/>
                                <w:bottom w:val="none" w:sz="0" w:space="0" w:color="auto"/>
                                <w:right w:val="none" w:sz="0" w:space="0" w:color="auto"/>
                              </w:divBdr>
                              <w:divsChild>
                                <w:div w:id="5574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765644">
          <w:marLeft w:val="0"/>
          <w:marRight w:val="0"/>
          <w:marTop w:val="0"/>
          <w:marBottom w:val="0"/>
          <w:divBdr>
            <w:top w:val="none" w:sz="0" w:space="0" w:color="auto"/>
            <w:left w:val="none" w:sz="0" w:space="0" w:color="auto"/>
            <w:bottom w:val="none" w:sz="0" w:space="0" w:color="auto"/>
            <w:right w:val="none" w:sz="0" w:space="0" w:color="auto"/>
          </w:divBdr>
          <w:divsChild>
            <w:div w:id="1790123249">
              <w:marLeft w:val="0"/>
              <w:marRight w:val="0"/>
              <w:marTop w:val="0"/>
              <w:marBottom w:val="0"/>
              <w:divBdr>
                <w:top w:val="none" w:sz="0" w:space="0" w:color="auto"/>
                <w:left w:val="none" w:sz="0" w:space="0" w:color="auto"/>
                <w:bottom w:val="none" w:sz="0" w:space="0" w:color="auto"/>
                <w:right w:val="none" w:sz="0" w:space="0" w:color="auto"/>
              </w:divBdr>
              <w:divsChild>
                <w:div w:id="958880597">
                  <w:marLeft w:val="0"/>
                  <w:marRight w:val="0"/>
                  <w:marTop w:val="0"/>
                  <w:marBottom w:val="0"/>
                  <w:divBdr>
                    <w:top w:val="none" w:sz="0" w:space="0" w:color="auto"/>
                    <w:left w:val="none" w:sz="0" w:space="0" w:color="auto"/>
                    <w:bottom w:val="none" w:sz="0" w:space="0" w:color="auto"/>
                    <w:right w:val="none" w:sz="0" w:space="0" w:color="auto"/>
                  </w:divBdr>
                  <w:divsChild>
                    <w:div w:id="439642384">
                      <w:marLeft w:val="0"/>
                      <w:marRight w:val="0"/>
                      <w:marTop w:val="0"/>
                      <w:marBottom w:val="0"/>
                      <w:divBdr>
                        <w:top w:val="none" w:sz="0" w:space="0" w:color="auto"/>
                        <w:left w:val="none" w:sz="0" w:space="0" w:color="auto"/>
                        <w:bottom w:val="none" w:sz="0" w:space="0" w:color="auto"/>
                        <w:right w:val="none" w:sz="0" w:space="0" w:color="auto"/>
                      </w:divBdr>
                      <w:divsChild>
                        <w:div w:id="2116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40899">
      <w:bodyDiv w:val="1"/>
      <w:marLeft w:val="0"/>
      <w:marRight w:val="0"/>
      <w:marTop w:val="0"/>
      <w:marBottom w:val="0"/>
      <w:divBdr>
        <w:top w:val="none" w:sz="0" w:space="0" w:color="auto"/>
        <w:left w:val="none" w:sz="0" w:space="0" w:color="auto"/>
        <w:bottom w:val="none" w:sz="0" w:space="0" w:color="auto"/>
        <w:right w:val="none" w:sz="0" w:space="0" w:color="auto"/>
      </w:divBdr>
    </w:div>
    <w:div w:id="1759132381">
      <w:bodyDiv w:val="1"/>
      <w:marLeft w:val="0"/>
      <w:marRight w:val="0"/>
      <w:marTop w:val="0"/>
      <w:marBottom w:val="0"/>
      <w:divBdr>
        <w:top w:val="none" w:sz="0" w:space="0" w:color="auto"/>
        <w:left w:val="none" w:sz="0" w:space="0" w:color="auto"/>
        <w:bottom w:val="none" w:sz="0" w:space="0" w:color="auto"/>
        <w:right w:val="none" w:sz="0" w:space="0" w:color="auto"/>
      </w:divBdr>
    </w:div>
    <w:div w:id="1761216639">
      <w:bodyDiv w:val="1"/>
      <w:marLeft w:val="0"/>
      <w:marRight w:val="0"/>
      <w:marTop w:val="0"/>
      <w:marBottom w:val="0"/>
      <w:divBdr>
        <w:top w:val="none" w:sz="0" w:space="0" w:color="auto"/>
        <w:left w:val="none" w:sz="0" w:space="0" w:color="auto"/>
        <w:bottom w:val="none" w:sz="0" w:space="0" w:color="auto"/>
        <w:right w:val="none" w:sz="0" w:space="0" w:color="auto"/>
      </w:divBdr>
    </w:div>
    <w:div w:id="1807580937">
      <w:bodyDiv w:val="1"/>
      <w:marLeft w:val="0"/>
      <w:marRight w:val="0"/>
      <w:marTop w:val="0"/>
      <w:marBottom w:val="0"/>
      <w:divBdr>
        <w:top w:val="none" w:sz="0" w:space="0" w:color="auto"/>
        <w:left w:val="none" w:sz="0" w:space="0" w:color="auto"/>
        <w:bottom w:val="none" w:sz="0" w:space="0" w:color="auto"/>
        <w:right w:val="none" w:sz="0" w:space="0" w:color="auto"/>
      </w:divBdr>
    </w:div>
    <w:div w:id="1894340864">
      <w:bodyDiv w:val="1"/>
      <w:marLeft w:val="0"/>
      <w:marRight w:val="0"/>
      <w:marTop w:val="0"/>
      <w:marBottom w:val="0"/>
      <w:divBdr>
        <w:top w:val="none" w:sz="0" w:space="0" w:color="auto"/>
        <w:left w:val="none" w:sz="0" w:space="0" w:color="auto"/>
        <w:bottom w:val="none" w:sz="0" w:space="0" w:color="auto"/>
        <w:right w:val="none" w:sz="0" w:space="0" w:color="auto"/>
      </w:divBdr>
    </w:div>
    <w:div w:id="1974627565">
      <w:bodyDiv w:val="1"/>
      <w:marLeft w:val="0"/>
      <w:marRight w:val="0"/>
      <w:marTop w:val="0"/>
      <w:marBottom w:val="0"/>
      <w:divBdr>
        <w:top w:val="none" w:sz="0" w:space="0" w:color="auto"/>
        <w:left w:val="none" w:sz="0" w:space="0" w:color="auto"/>
        <w:bottom w:val="none" w:sz="0" w:space="0" w:color="auto"/>
        <w:right w:val="none" w:sz="0" w:space="0" w:color="auto"/>
      </w:divBdr>
      <w:divsChild>
        <w:div w:id="770587977">
          <w:marLeft w:val="0"/>
          <w:marRight w:val="0"/>
          <w:marTop w:val="0"/>
          <w:marBottom w:val="0"/>
          <w:divBdr>
            <w:top w:val="none" w:sz="0" w:space="0" w:color="auto"/>
            <w:left w:val="none" w:sz="0" w:space="0" w:color="auto"/>
            <w:bottom w:val="none" w:sz="0" w:space="0" w:color="auto"/>
            <w:right w:val="none" w:sz="0" w:space="0" w:color="auto"/>
          </w:divBdr>
          <w:divsChild>
            <w:div w:id="1106540453">
              <w:marLeft w:val="0"/>
              <w:marRight w:val="0"/>
              <w:marTop w:val="0"/>
              <w:marBottom w:val="0"/>
              <w:divBdr>
                <w:top w:val="none" w:sz="0" w:space="0" w:color="auto"/>
                <w:left w:val="none" w:sz="0" w:space="0" w:color="auto"/>
                <w:bottom w:val="none" w:sz="0" w:space="0" w:color="auto"/>
                <w:right w:val="none" w:sz="0" w:space="0" w:color="auto"/>
              </w:divBdr>
              <w:divsChild>
                <w:div w:id="965742268">
                  <w:marLeft w:val="0"/>
                  <w:marRight w:val="0"/>
                  <w:marTop w:val="0"/>
                  <w:marBottom w:val="0"/>
                  <w:divBdr>
                    <w:top w:val="none" w:sz="0" w:space="0" w:color="auto"/>
                    <w:left w:val="none" w:sz="0" w:space="0" w:color="auto"/>
                    <w:bottom w:val="none" w:sz="0" w:space="0" w:color="auto"/>
                    <w:right w:val="none" w:sz="0" w:space="0" w:color="auto"/>
                  </w:divBdr>
                  <w:divsChild>
                    <w:div w:id="68429097">
                      <w:marLeft w:val="0"/>
                      <w:marRight w:val="0"/>
                      <w:marTop w:val="0"/>
                      <w:marBottom w:val="0"/>
                      <w:divBdr>
                        <w:top w:val="none" w:sz="0" w:space="0" w:color="auto"/>
                        <w:left w:val="none" w:sz="0" w:space="0" w:color="auto"/>
                        <w:bottom w:val="none" w:sz="0" w:space="0" w:color="auto"/>
                        <w:right w:val="none" w:sz="0" w:space="0" w:color="auto"/>
                      </w:divBdr>
                      <w:divsChild>
                        <w:div w:id="351107077">
                          <w:marLeft w:val="0"/>
                          <w:marRight w:val="0"/>
                          <w:marTop w:val="0"/>
                          <w:marBottom w:val="0"/>
                          <w:divBdr>
                            <w:top w:val="none" w:sz="0" w:space="0" w:color="auto"/>
                            <w:left w:val="none" w:sz="0" w:space="0" w:color="auto"/>
                            <w:bottom w:val="none" w:sz="0" w:space="0" w:color="auto"/>
                            <w:right w:val="none" w:sz="0" w:space="0" w:color="auto"/>
                          </w:divBdr>
                          <w:divsChild>
                            <w:div w:id="1589189131">
                              <w:marLeft w:val="0"/>
                              <w:marRight w:val="300"/>
                              <w:marTop w:val="180"/>
                              <w:marBottom w:val="0"/>
                              <w:divBdr>
                                <w:top w:val="none" w:sz="0" w:space="0" w:color="auto"/>
                                <w:left w:val="none" w:sz="0" w:space="0" w:color="auto"/>
                                <w:bottom w:val="none" w:sz="0" w:space="0" w:color="auto"/>
                                <w:right w:val="none" w:sz="0" w:space="0" w:color="auto"/>
                              </w:divBdr>
                              <w:divsChild>
                                <w:div w:id="19042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047878">
          <w:marLeft w:val="0"/>
          <w:marRight w:val="0"/>
          <w:marTop w:val="0"/>
          <w:marBottom w:val="0"/>
          <w:divBdr>
            <w:top w:val="none" w:sz="0" w:space="0" w:color="auto"/>
            <w:left w:val="none" w:sz="0" w:space="0" w:color="auto"/>
            <w:bottom w:val="none" w:sz="0" w:space="0" w:color="auto"/>
            <w:right w:val="none" w:sz="0" w:space="0" w:color="auto"/>
          </w:divBdr>
          <w:divsChild>
            <w:div w:id="1302468721">
              <w:marLeft w:val="0"/>
              <w:marRight w:val="0"/>
              <w:marTop w:val="0"/>
              <w:marBottom w:val="0"/>
              <w:divBdr>
                <w:top w:val="none" w:sz="0" w:space="0" w:color="auto"/>
                <w:left w:val="none" w:sz="0" w:space="0" w:color="auto"/>
                <w:bottom w:val="none" w:sz="0" w:space="0" w:color="auto"/>
                <w:right w:val="none" w:sz="0" w:space="0" w:color="auto"/>
              </w:divBdr>
              <w:divsChild>
                <w:div w:id="521162483">
                  <w:marLeft w:val="0"/>
                  <w:marRight w:val="0"/>
                  <w:marTop w:val="0"/>
                  <w:marBottom w:val="0"/>
                  <w:divBdr>
                    <w:top w:val="none" w:sz="0" w:space="0" w:color="auto"/>
                    <w:left w:val="none" w:sz="0" w:space="0" w:color="auto"/>
                    <w:bottom w:val="none" w:sz="0" w:space="0" w:color="auto"/>
                    <w:right w:val="none" w:sz="0" w:space="0" w:color="auto"/>
                  </w:divBdr>
                  <w:divsChild>
                    <w:div w:id="271014545">
                      <w:marLeft w:val="0"/>
                      <w:marRight w:val="0"/>
                      <w:marTop w:val="0"/>
                      <w:marBottom w:val="0"/>
                      <w:divBdr>
                        <w:top w:val="none" w:sz="0" w:space="0" w:color="auto"/>
                        <w:left w:val="none" w:sz="0" w:space="0" w:color="auto"/>
                        <w:bottom w:val="none" w:sz="0" w:space="0" w:color="auto"/>
                        <w:right w:val="none" w:sz="0" w:space="0" w:color="auto"/>
                      </w:divBdr>
                      <w:divsChild>
                        <w:div w:id="7698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024835">
      <w:bodyDiv w:val="1"/>
      <w:marLeft w:val="0"/>
      <w:marRight w:val="0"/>
      <w:marTop w:val="0"/>
      <w:marBottom w:val="0"/>
      <w:divBdr>
        <w:top w:val="none" w:sz="0" w:space="0" w:color="auto"/>
        <w:left w:val="none" w:sz="0" w:space="0" w:color="auto"/>
        <w:bottom w:val="none" w:sz="0" w:space="0" w:color="auto"/>
        <w:right w:val="none" w:sz="0" w:space="0" w:color="auto"/>
      </w:divBdr>
    </w:div>
    <w:div w:id="2049790451">
      <w:bodyDiv w:val="1"/>
      <w:marLeft w:val="0"/>
      <w:marRight w:val="0"/>
      <w:marTop w:val="0"/>
      <w:marBottom w:val="0"/>
      <w:divBdr>
        <w:top w:val="none" w:sz="0" w:space="0" w:color="auto"/>
        <w:left w:val="none" w:sz="0" w:space="0" w:color="auto"/>
        <w:bottom w:val="none" w:sz="0" w:space="0" w:color="auto"/>
        <w:right w:val="none" w:sz="0" w:space="0" w:color="auto"/>
      </w:divBdr>
    </w:div>
    <w:div w:id="2093161563">
      <w:bodyDiv w:val="1"/>
      <w:marLeft w:val="0"/>
      <w:marRight w:val="0"/>
      <w:marTop w:val="0"/>
      <w:marBottom w:val="0"/>
      <w:divBdr>
        <w:top w:val="none" w:sz="0" w:space="0" w:color="auto"/>
        <w:left w:val="none" w:sz="0" w:space="0" w:color="auto"/>
        <w:bottom w:val="none" w:sz="0" w:space="0" w:color="auto"/>
        <w:right w:val="none" w:sz="0" w:space="0" w:color="auto"/>
      </w:divBdr>
    </w:div>
    <w:div w:id="2101559514">
      <w:bodyDiv w:val="1"/>
      <w:marLeft w:val="0"/>
      <w:marRight w:val="0"/>
      <w:marTop w:val="0"/>
      <w:marBottom w:val="0"/>
      <w:divBdr>
        <w:top w:val="none" w:sz="0" w:space="0" w:color="auto"/>
        <w:left w:val="none" w:sz="0" w:space="0" w:color="auto"/>
        <w:bottom w:val="none" w:sz="0" w:space="0" w:color="auto"/>
        <w:right w:val="none" w:sz="0" w:space="0" w:color="auto"/>
      </w:divBdr>
      <w:divsChild>
        <w:div w:id="1535847956">
          <w:marLeft w:val="0"/>
          <w:marRight w:val="0"/>
          <w:marTop w:val="0"/>
          <w:marBottom w:val="0"/>
          <w:divBdr>
            <w:top w:val="none" w:sz="0" w:space="0" w:color="auto"/>
            <w:left w:val="none" w:sz="0" w:space="0" w:color="auto"/>
            <w:bottom w:val="none" w:sz="0" w:space="0" w:color="auto"/>
            <w:right w:val="none" w:sz="0" w:space="0" w:color="auto"/>
          </w:divBdr>
          <w:divsChild>
            <w:div w:id="1739013193">
              <w:marLeft w:val="0"/>
              <w:marRight w:val="0"/>
              <w:marTop w:val="0"/>
              <w:marBottom w:val="0"/>
              <w:divBdr>
                <w:top w:val="none" w:sz="0" w:space="0" w:color="auto"/>
                <w:left w:val="none" w:sz="0" w:space="0" w:color="auto"/>
                <w:bottom w:val="none" w:sz="0" w:space="0" w:color="auto"/>
                <w:right w:val="none" w:sz="0" w:space="0" w:color="auto"/>
              </w:divBdr>
              <w:divsChild>
                <w:div w:id="808591885">
                  <w:marLeft w:val="0"/>
                  <w:marRight w:val="0"/>
                  <w:marTop w:val="0"/>
                  <w:marBottom w:val="0"/>
                  <w:divBdr>
                    <w:top w:val="none" w:sz="0" w:space="0" w:color="auto"/>
                    <w:left w:val="none" w:sz="0" w:space="0" w:color="auto"/>
                    <w:bottom w:val="none" w:sz="0" w:space="0" w:color="auto"/>
                    <w:right w:val="none" w:sz="0" w:space="0" w:color="auto"/>
                  </w:divBdr>
                  <w:divsChild>
                    <w:div w:id="1973320921">
                      <w:marLeft w:val="0"/>
                      <w:marRight w:val="0"/>
                      <w:marTop w:val="0"/>
                      <w:marBottom w:val="0"/>
                      <w:divBdr>
                        <w:top w:val="none" w:sz="0" w:space="0" w:color="auto"/>
                        <w:left w:val="none" w:sz="0" w:space="0" w:color="auto"/>
                        <w:bottom w:val="none" w:sz="0" w:space="0" w:color="auto"/>
                        <w:right w:val="none" w:sz="0" w:space="0" w:color="auto"/>
                      </w:divBdr>
                      <w:divsChild>
                        <w:div w:id="2131166114">
                          <w:marLeft w:val="0"/>
                          <w:marRight w:val="0"/>
                          <w:marTop w:val="0"/>
                          <w:marBottom w:val="0"/>
                          <w:divBdr>
                            <w:top w:val="none" w:sz="0" w:space="0" w:color="auto"/>
                            <w:left w:val="none" w:sz="0" w:space="0" w:color="auto"/>
                            <w:bottom w:val="none" w:sz="0" w:space="0" w:color="auto"/>
                            <w:right w:val="none" w:sz="0" w:space="0" w:color="auto"/>
                          </w:divBdr>
                          <w:divsChild>
                            <w:div w:id="22554860">
                              <w:marLeft w:val="0"/>
                              <w:marRight w:val="300"/>
                              <w:marTop w:val="180"/>
                              <w:marBottom w:val="0"/>
                              <w:divBdr>
                                <w:top w:val="none" w:sz="0" w:space="0" w:color="auto"/>
                                <w:left w:val="none" w:sz="0" w:space="0" w:color="auto"/>
                                <w:bottom w:val="none" w:sz="0" w:space="0" w:color="auto"/>
                                <w:right w:val="none" w:sz="0" w:space="0" w:color="auto"/>
                              </w:divBdr>
                              <w:divsChild>
                                <w:div w:id="16378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989263">
          <w:marLeft w:val="0"/>
          <w:marRight w:val="0"/>
          <w:marTop w:val="0"/>
          <w:marBottom w:val="0"/>
          <w:divBdr>
            <w:top w:val="none" w:sz="0" w:space="0" w:color="auto"/>
            <w:left w:val="none" w:sz="0" w:space="0" w:color="auto"/>
            <w:bottom w:val="none" w:sz="0" w:space="0" w:color="auto"/>
            <w:right w:val="none" w:sz="0" w:space="0" w:color="auto"/>
          </w:divBdr>
          <w:divsChild>
            <w:div w:id="1985236938">
              <w:marLeft w:val="0"/>
              <w:marRight w:val="0"/>
              <w:marTop w:val="0"/>
              <w:marBottom w:val="0"/>
              <w:divBdr>
                <w:top w:val="none" w:sz="0" w:space="0" w:color="auto"/>
                <w:left w:val="none" w:sz="0" w:space="0" w:color="auto"/>
                <w:bottom w:val="none" w:sz="0" w:space="0" w:color="auto"/>
                <w:right w:val="none" w:sz="0" w:space="0" w:color="auto"/>
              </w:divBdr>
              <w:divsChild>
                <w:div w:id="1705668095">
                  <w:marLeft w:val="0"/>
                  <w:marRight w:val="0"/>
                  <w:marTop w:val="0"/>
                  <w:marBottom w:val="0"/>
                  <w:divBdr>
                    <w:top w:val="none" w:sz="0" w:space="0" w:color="auto"/>
                    <w:left w:val="none" w:sz="0" w:space="0" w:color="auto"/>
                    <w:bottom w:val="none" w:sz="0" w:space="0" w:color="auto"/>
                    <w:right w:val="none" w:sz="0" w:space="0" w:color="auto"/>
                  </w:divBdr>
                  <w:divsChild>
                    <w:div w:id="2086680596">
                      <w:marLeft w:val="0"/>
                      <w:marRight w:val="0"/>
                      <w:marTop w:val="0"/>
                      <w:marBottom w:val="0"/>
                      <w:divBdr>
                        <w:top w:val="none" w:sz="0" w:space="0" w:color="auto"/>
                        <w:left w:val="none" w:sz="0" w:space="0" w:color="auto"/>
                        <w:bottom w:val="none" w:sz="0" w:space="0" w:color="auto"/>
                        <w:right w:val="none" w:sz="0" w:space="0" w:color="auto"/>
                      </w:divBdr>
                      <w:divsChild>
                        <w:div w:id="13553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118952">
      <w:bodyDiv w:val="1"/>
      <w:marLeft w:val="0"/>
      <w:marRight w:val="0"/>
      <w:marTop w:val="0"/>
      <w:marBottom w:val="0"/>
      <w:divBdr>
        <w:top w:val="none" w:sz="0" w:space="0" w:color="auto"/>
        <w:left w:val="none" w:sz="0" w:space="0" w:color="auto"/>
        <w:bottom w:val="none" w:sz="0" w:space="0" w:color="auto"/>
        <w:right w:val="none" w:sz="0" w:space="0" w:color="auto"/>
      </w:divBdr>
      <w:divsChild>
        <w:div w:id="203561247">
          <w:marLeft w:val="0"/>
          <w:marRight w:val="0"/>
          <w:marTop w:val="0"/>
          <w:marBottom w:val="0"/>
          <w:divBdr>
            <w:top w:val="none" w:sz="0" w:space="0" w:color="auto"/>
            <w:left w:val="none" w:sz="0" w:space="0" w:color="auto"/>
            <w:bottom w:val="none" w:sz="0" w:space="0" w:color="auto"/>
            <w:right w:val="none" w:sz="0" w:space="0" w:color="auto"/>
          </w:divBdr>
          <w:divsChild>
            <w:div w:id="2119373565">
              <w:marLeft w:val="0"/>
              <w:marRight w:val="0"/>
              <w:marTop w:val="0"/>
              <w:marBottom w:val="0"/>
              <w:divBdr>
                <w:top w:val="none" w:sz="0" w:space="0" w:color="auto"/>
                <w:left w:val="none" w:sz="0" w:space="0" w:color="auto"/>
                <w:bottom w:val="none" w:sz="0" w:space="0" w:color="auto"/>
                <w:right w:val="none" w:sz="0" w:space="0" w:color="auto"/>
              </w:divBdr>
              <w:divsChild>
                <w:div w:id="2114090159">
                  <w:marLeft w:val="0"/>
                  <w:marRight w:val="0"/>
                  <w:marTop w:val="0"/>
                  <w:marBottom w:val="0"/>
                  <w:divBdr>
                    <w:top w:val="none" w:sz="0" w:space="0" w:color="auto"/>
                    <w:left w:val="none" w:sz="0" w:space="0" w:color="auto"/>
                    <w:bottom w:val="none" w:sz="0" w:space="0" w:color="auto"/>
                    <w:right w:val="none" w:sz="0" w:space="0" w:color="auto"/>
                  </w:divBdr>
                  <w:divsChild>
                    <w:div w:id="1804884935">
                      <w:marLeft w:val="0"/>
                      <w:marRight w:val="0"/>
                      <w:marTop w:val="0"/>
                      <w:marBottom w:val="0"/>
                      <w:divBdr>
                        <w:top w:val="none" w:sz="0" w:space="0" w:color="auto"/>
                        <w:left w:val="none" w:sz="0" w:space="0" w:color="auto"/>
                        <w:bottom w:val="none" w:sz="0" w:space="0" w:color="auto"/>
                        <w:right w:val="none" w:sz="0" w:space="0" w:color="auto"/>
                      </w:divBdr>
                      <w:divsChild>
                        <w:div w:id="755202406">
                          <w:marLeft w:val="0"/>
                          <w:marRight w:val="0"/>
                          <w:marTop w:val="0"/>
                          <w:marBottom w:val="0"/>
                          <w:divBdr>
                            <w:top w:val="none" w:sz="0" w:space="0" w:color="auto"/>
                            <w:left w:val="none" w:sz="0" w:space="0" w:color="auto"/>
                            <w:bottom w:val="none" w:sz="0" w:space="0" w:color="auto"/>
                            <w:right w:val="none" w:sz="0" w:space="0" w:color="auto"/>
                          </w:divBdr>
                          <w:divsChild>
                            <w:div w:id="1105920882">
                              <w:marLeft w:val="0"/>
                              <w:marRight w:val="300"/>
                              <w:marTop w:val="180"/>
                              <w:marBottom w:val="0"/>
                              <w:divBdr>
                                <w:top w:val="none" w:sz="0" w:space="0" w:color="auto"/>
                                <w:left w:val="none" w:sz="0" w:space="0" w:color="auto"/>
                                <w:bottom w:val="none" w:sz="0" w:space="0" w:color="auto"/>
                                <w:right w:val="none" w:sz="0" w:space="0" w:color="auto"/>
                              </w:divBdr>
                              <w:divsChild>
                                <w:div w:id="20949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255885">
          <w:marLeft w:val="0"/>
          <w:marRight w:val="0"/>
          <w:marTop w:val="0"/>
          <w:marBottom w:val="0"/>
          <w:divBdr>
            <w:top w:val="none" w:sz="0" w:space="0" w:color="auto"/>
            <w:left w:val="none" w:sz="0" w:space="0" w:color="auto"/>
            <w:bottom w:val="none" w:sz="0" w:space="0" w:color="auto"/>
            <w:right w:val="none" w:sz="0" w:space="0" w:color="auto"/>
          </w:divBdr>
          <w:divsChild>
            <w:div w:id="1069573373">
              <w:marLeft w:val="0"/>
              <w:marRight w:val="0"/>
              <w:marTop w:val="0"/>
              <w:marBottom w:val="0"/>
              <w:divBdr>
                <w:top w:val="none" w:sz="0" w:space="0" w:color="auto"/>
                <w:left w:val="none" w:sz="0" w:space="0" w:color="auto"/>
                <w:bottom w:val="none" w:sz="0" w:space="0" w:color="auto"/>
                <w:right w:val="none" w:sz="0" w:space="0" w:color="auto"/>
              </w:divBdr>
              <w:divsChild>
                <w:div w:id="515652487">
                  <w:marLeft w:val="0"/>
                  <w:marRight w:val="0"/>
                  <w:marTop w:val="0"/>
                  <w:marBottom w:val="0"/>
                  <w:divBdr>
                    <w:top w:val="none" w:sz="0" w:space="0" w:color="auto"/>
                    <w:left w:val="none" w:sz="0" w:space="0" w:color="auto"/>
                    <w:bottom w:val="none" w:sz="0" w:space="0" w:color="auto"/>
                    <w:right w:val="none" w:sz="0" w:space="0" w:color="auto"/>
                  </w:divBdr>
                  <w:divsChild>
                    <w:div w:id="1528374122">
                      <w:marLeft w:val="0"/>
                      <w:marRight w:val="0"/>
                      <w:marTop w:val="0"/>
                      <w:marBottom w:val="0"/>
                      <w:divBdr>
                        <w:top w:val="none" w:sz="0" w:space="0" w:color="auto"/>
                        <w:left w:val="none" w:sz="0" w:space="0" w:color="auto"/>
                        <w:bottom w:val="none" w:sz="0" w:space="0" w:color="auto"/>
                        <w:right w:val="none" w:sz="0" w:space="0" w:color="auto"/>
                      </w:divBdr>
                      <w:divsChild>
                        <w:div w:id="9784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s.usda.gov/services/organic-certification/international-trade" TargetMode="External"/><Relationship Id="rId21" Type="http://schemas.openxmlformats.org/officeDocument/2006/relationships/hyperlink" Target="https://www.ams.usda.gov/sites/default/files/media/TOPPMap.pdf" TargetMode="External"/><Relationship Id="rId42" Type="http://schemas.openxmlformats.org/officeDocument/2006/relationships/image" Target="media/image2.jpeg"/><Relationship Id="rId47" Type="http://schemas.openxmlformats.org/officeDocument/2006/relationships/image" Target="media/image7.jpeg"/><Relationship Id="rId63" Type="http://schemas.openxmlformats.org/officeDocument/2006/relationships/hyperlink" Target="https://www.ams.usda.gov/services/organic-certification/international-trade/european-union"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s.usda.gov/services/organic-certification/certifying-agents" TargetMode="External"/><Relationship Id="rId29" Type="http://schemas.openxmlformats.org/officeDocument/2006/relationships/hyperlink" Target="https://www.inspection.gc.ca/organic-products/guidance-documents/us-canada-organic-equivalency-arrangement/eng/1598281316410/1598281317018" TargetMode="External"/><Relationship Id="rId11" Type="http://schemas.openxmlformats.org/officeDocument/2006/relationships/image" Target="media/image1.jpg"/><Relationship Id="rId24" Type="http://schemas.openxmlformats.org/officeDocument/2006/relationships/hyperlink" Target="https://www.rma.usda.gov/en/Topics/Organic-Crops" TargetMode="External"/><Relationship Id="rId32" Type="http://schemas.openxmlformats.org/officeDocument/2006/relationships/hyperlink" Target="https://eur-lex.europa.eu/legal-content/EN/TXT/?uri=uriserv:OJ.L_.2018.150.01.0001.01.ENG&amp;toc=OJ:L:2018:150:TOC" TargetMode="External"/><Relationship Id="rId37" Type="http://schemas.openxmlformats.org/officeDocument/2006/relationships/hyperlink" Target="https://www.enviagro.go.kr/portal/en/login.do" TargetMode="External"/><Relationship Id="rId40" Type="http://schemas.openxmlformats.org/officeDocument/2006/relationships/hyperlink" Target="http://www.krav.se/how-you-can-fulfill-kravs-extra-requirements" TargetMode="External"/><Relationship Id="rId45" Type="http://schemas.openxmlformats.org/officeDocument/2006/relationships/image" Target="media/image5.jpeg"/><Relationship Id="rId53" Type="http://schemas.openxmlformats.org/officeDocument/2006/relationships/image" Target="media/image13.gif"/><Relationship Id="rId58" Type="http://schemas.openxmlformats.org/officeDocument/2006/relationships/image" Target="media/image18.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hyperlink" Target="https://www.ams.usda.gov/sites/default/files/media/2023INTEGRITYTransitional.pdf" TargetMode="External"/><Relationship Id="rId14" Type="http://schemas.openxmlformats.org/officeDocument/2006/relationships/hyperlink" Target="https://inspection.canada.ca/organic-products/operating-manual/eng/1389199079075/1554143470958" TargetMode="External"/><Relationship Id="rId22" Type="http://schemas.openxmlformats.org/officeDocument/2006/relationships/hyperlink" Target="https://www.farmers.gov/your-business/organic/organic-transition-initiative" TargetMode="External"/><Relationship Id="rId27" Type="http://schemas.openxmlformats.org/officeDocument/2006/relationships/hyperlink" Target="https://www.ams.usda.gov/services/organic-certification/international-trade" TargetMode="External"/><Relationship Id="rId30" Type="http://schemas.openxmlformats.org/officeDocument/2006/relationships/hyperlink" Target="https://www.ams.usda.gov/sites/default/files/media/NOP-PM-12-1-AquaticPlant.pdf" TargetMode="External"/><Relationship Id="rId35" Type="http://schemas.openxmlformats.org/officeDocument/2006/relationships/hyperlink" Target="https://www.ams.usda.gov/sites/default/files/media/NOP%20Exporting%20Organic%20Products%20to%20Japan.pdf" TargetMode="External"/><Relationship Id="rId43" Type="http://schemas.openxmlformats.org/officeDocument/2006/relationships/image" Target="media/image3.jpeg"/><Relationship Id="rId48" Type="http://schemas.openxmlformats.org/officeDocument/2006/relationships/image" Target="media/image8.jpg"/><Relationship Id="rId56" Type="http://schemas.openxmlformats.org/officeDocument/2006/relationships/image" Target="media/image16.png"/><Relationship Id="rId64" Type="http://schemas.openxmlformats.org/officeDocument/2006/relationships/hyperlink" Target="http://www.ams.usda.gov/rules-regulations/organic"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1.jpe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www.qcsinfo.org" TargetMode="External"/><Relationship Id="rId17" Type="http://schemas.openxmlformats.org/officeDocument/2006/relationships/hyperlink" Target="https://www.ecfr.gov/current/title-7/section-205.105" TargetMode="External"/><Relationship Id="rId25" Type="http://schemas.openxmlformats.org/officeDocument/2006/relationships/hyperlink" Target="https://foginfo.org/our-programs/se-center-for-organic-transition/" TargetMode="External"/><Relationship Id="rId33" Type="http://schemas.openxmlformats.org/officeDocument/2006/relationships/hyperlink" Target="https://www.ams.usda.gov/sites/default/files/media/NOP%20Japan%20Letter%20to%20U.S..pdf" TargetMode="External"/><Relationship Id="rId38" Type="http://schemas.openxmlformats.org/officeDocument/2006/relationships/hyperlink" Target="https://www.fedlex.admin.ch/eli/cc/1997/2498_2498_2498/en"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header" Target="header2.xml"/><Relationship Id="rId20" Type="http://schemas.openxmlformats.org/officeDocument/2006/relationships/hyperlink" Target="https://www.ams.usda.gov/services/organic-certification/topp" TargetMode="External"/><Relationship Id="rId41" Type="http://schemas.openxmlformats.org/officeDocument/2006/relationships/hyperlink" Target="http://www.krav.se/product-specific-requirements" TargetMode="External"/><Relationship Id="rId54" Type="http://schemas.openxmlformats.org/officeDocument/2006/relationships/image" Target="media/image14.gif"/><Relationship Id="rId62" Type="http://schemas.openxmlformats.org/officeDocument/2006/relationships/hyperlink" Target="https://webgate.ec.europa.eu/tracesnt/logi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ms.usda.gov/nop" TargetMode="External"/><Relationship Id="rId23" Type="http://schemas.openxmlformats.org/officeDocument/2006/relationships/hyperlink" Target="https://www.farmers.gov/working-with-us/USDA-service-centers" TargetMode="External"/><Relationship Id="rId28" Type="http://schemas.openxmlformats.org/officeDocument/2006/relationships/hyperlink" Target="https://www.ams.usda.gov/sites/default/files/media/NOP%20US%20Canada%20Agreement.pdf" TargetMode="External"/><Relationship Id="rId36" Type="http://schemas.openxmlformats.org/officeDocument/2006/relationships/hyperlink" Target="http://www.enviagro.go.kr/portal/content/html/import/logo.zip"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inspection.gc.ca/organic-products/equivalence-arrangements/requirements/eng/1588111274513/1588111275200"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yperlink" Target="https://www.ams.usda.gov/sites/default/files/media/NOP-TemporaryVariance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griculture.ec.europa.eu/farming/organic-farming/legislation_es" TargetMode="External"/><Relationship Id="rId18" Type="http://schemas.openxmlformats.org/officeDocument/2006/relationships/hyperlink" Target="https://organic.ams.usda.gov/Integrity/Home" TargetMode="External"/><Relationship Id="rId39" Type="http://schemas.openxmlformats.org/officeDocument/2006/relationships/hyperlink" Target="https://www.icbag.ch/downloads/downloads/checklistsforms.html" TargetMode="External"/><Relationship Id="rId34" Type="http://schemas.openxmlformats.org/officeDocument/2006/relationships/hyperlink" Target="https://www.maff.go.jp/e/policies/standard/specific/attach/pdf/organic_JAS-22.pdf" TargetMode="External"/><Relationship Id="rId50" Type="http://schemas.openxmlformats.org/officeDocument/2006/relationships/image" Target="media/image10.png"/><Relationship Id="rId55"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A90DB4E298DF48979A6FA7847D33A2" ma:contentTypeVersion="26" ma:contentTypeDescription="Create a new document." ma:contentTypeScope="" ma:versionID="f978511e9fced34d6f6ba4d138d12467">
  <xsd:schema xmlns:xsd="http://www.w3.org/2001/XMLSchema" xmlns:xs="http://www.w3.org/2001/XMLSchema" xmlns:p="http://schemas.microsoft.com/office/2006/metadata/properties" xmlns:ns2="769612c4-c021-4b5c-a664-ed7cb5476d04" xmlns:ns3="26d81215-cfa5-4b41-94b0-2827e70eb11a" targetNamespace="http://schemas.microsoft.com/office/2006/metadata/properties" ma:root="true" ma:fieldsID="52df00d2e77fb6f64f7ddb2163bc3f71" ns2:_="" ns3:_="">
    <xsd:import namespace="769612c4-c021-4b5c-a664-ed7cb5476d04"/>
    <xsd:import namespace="26d81215-cfa5-4b41-94b0-2827e70eb1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Createdby" minOccurs="0"/>
                <xsd:element ref="ns2:MediaLengthInSeconds" minOccurs="0"/>
                <xsd:element ref="ns2:AP" minOccurs="0"/>
                <xsd:element ref="ns2:AR" minOccurs="0"/>
                <xsd:element ref="ns2:lcf76f155ced4ddcb4097134ff3c332f" minOccurs="0"/>
                <xsd:element ref="ns3:TaxCatchAll" minOccurs="0"/>
                <xsd:element ref="ns2:MediaServiceObjectDetectorVersions" minOccurs="0"/>
                <xsd:element ref="ns2:MediaServiceSearchProperties" minOccurs="0"/>
                <xsd:element ref="ns2:AA" minOccurs="0"/>
                <xsd:element ref="ns2:MediaServiceBillingMetadata" minOccurs="0"/>
                <xsd:element ref="ns2: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612c4-c021-4b5c-a664-ed7cb5476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reatedby" ma:index="20" nillable="true" ma:displayName="Created by" ma:format="Dropdown" ma:list="UserInfo" ma:SharePointGroup="0" ma:internalName="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AP" ma:index="22" nillable="true" ma:displayName="AP" ma:default="0" ma:description="Bill payable Entered" ma:format="Dropdown" ma:internalName="AP">
      <xsd:simpleType>
        <xsd:restriction base="dms:Boolean"/>
      </xsd:simpleType>
    </xsd:element>
    <xsd:element name="AR" ma:index="23" nillable="true" ma:displayName="AJ" ma:default="0" ma:description="Done by Amberlyn" ma:format="Dropdown" ma:internalName="AR">
      <xsd:simpleType>
        <xsd:restriction base="dms:Boolea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54c2853-4744-429a-8121-6637ed8683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AA" ma:index="29" nillable="true" ma:displayName="AA" ma:default="1" ma:format="Dropdown" ma:internalName="AA">
      <xsd:simpleType>
        <xsd:restriction base="dms:Boolean"/>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TranslatedLang" ma:index="31"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81215-cfa5-4b41-94b0-2827e70eb1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f8ad07a7-c10a-4af3-bdd2-eb26ad6e8241}" ma:internalName="TaxCatchAll" ma:showField="CatchAllData" ma:web="26d81215-cfa5-4b41-94b0-2827e70eb1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reatedby xmlns="769612c4-c021-4b5c-a664-ed7cb5476d04">
      <UserInfo>
        <DisplayName/>
        <AccountId xsi:nil="true"/>
        <AccountType/>
      </UserInfo>
    </Createdby>
    <AP xmlns="769612c4-c021-4b5c-a664-ed7cb5476d04">false</AP>
    <AR xmlns="769612c4-c021-4b5c-a664-ed7cb5476d04">false</AR>
    <lcf76f155ced4ddcb4097134ff3c332f xmlns="769612c4-c021-4b5c-a664-ed7cb5476d04">
      <Terms xmlns="http://schemas.microsoft.com/office/infopath/2007/PartnerControls"/>
    </lcf76f155ced4ddcb4097134ff3c332f>
    <TaxCatchAll xmlns="26d81215-cfa5-4b41-94b0-2827e70eb11a" xsi:nil="true"/>
    <AA xmlns="769612c4-c021-4b5c-a664-ed7cb5476d04">true</AA>
    <TranslatedLang xmlns="769612c4-c021-4b5c-a664-ed7cb5476d04" xsi:nil="true"/>
  </documentManagement>
</p:properties>
</file>

<file path=customXml/itemProps1.xml><?xml version="1.0" encoding="utf-8"?>
<ds:datastoreItem xmlns:ds="http://schemas.openxmlformats.org/officeDocument/2006/customXml" ds:itemID="{92ACC015-B18D-4880-9E17-26A41F4ED549}">
  <ds:schemaRefs>
    <ds:schemaRef ds:uri="http://schemas.microsoft.com/sharepoint/v3/contenttype/forms"/>
  </ds:schemaRefs>
</ds:datastoreItem>
</file>

<file path=customXml/itemProps2.xml><?xml version="1.0" encoding="utf-8"?>
<ds:datastoreItem xmlns:ds="http://schemas.openxmlformats.org/officeDocument/2006/customXml" ds:itemID="{FAF24D44-10CD-4F74-836A-E871B92FA5F6}">
  <ds:schemaRefs>
    <ds:schemaRef ds:uri="http://schemas.openxmlformats.org/officeDocument/2006/bibliography"/>
  </ds:schemaRefs>
</ds:datastoreItem>
</file>

<file path=customXml/itemProps3.xml><?xml version="1.0" encoding="utf-8"?>
<ds:datastoreItem xmlns:ds="http://schemas.openxmlformats.org/officeDocument/2006/customXml" ds:itemID="{73E54DFD-BA92-4B2F-90F6-2ECAB6D91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612c4-c021-4b5c-a664-ed7cb5476d04"/>
    <ds:schemaRef ds:uri="26d81215-cfa5-4b41-94b0-2827e70eb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FECC1-5E6D-454A-B4EE-D29767B27E9F}">
  <ds:schemaRefs>
    <ds:schemaRef ds:uri="http://schemas.microsoft.com/office/2006/metadata/properties"/>
    <ds:schemaRef ds:uri="http://schemas.microsoft.com/office/infopath/2007/PartnerControls"/>
    <ds:schemaRef ds:uri="769612c4-c021-4b5c-a664-ed7cb5476d04"/>
    <ds:schemaRef ds:uri="26d81215-cfa5-4b41-94b0-2827e70eb11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32037</Words>
  <Characters>165314</Characters>
  <Application>Microsoft Office Word</Application>
  <DocSecurity>8</DocSecurity>
  <Lines>7514</Lines>
  <Paragraphs>5638</Paragraphs>
  <ScaleCrop>false</ScaleCrop>
  <Company/>
  <LinksUpToDate>false</LinksUpToDate>
  <CharactersWithSpaces>191713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Wanser</dc:creator>
  <cp:keywords/>
  <dc:description/>
  <cp:lastModifiedBy>Heidi Mencl</cp:lastModifiedBy>
  <cp:revision>25</cp:revision>
  <cp:lastPrinted>2024-06-07T14:13:00Z</cp:lastPrinted>
  <dcterms:created xsi:type="dcterms:W3CDTF">2024-06-07T14:12:00Z</dcterms:created>
  <dcterms:modified xsi:type="dcterms:W3CDTF">2026-05-26T15:48:00Z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0x01010073A90DB4E298DF48979A6FA7847D33A2</vt:lpwstr>
  </property>
  <property fmtid="{D5CDD505-2E9C-101B-9397-08002B2CF9AE}" pid="3" name="MediaServiceImageTags">
    <vt:lpwstr/>
  </property>
</Properties>
</file>