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74" w:type="dxa"/>
        <w:tblInd w:w="540" w:type="dxa"/>
        <w:tblLook w:val="04A0" w:firstRow="1" w:lastRow="0" w:firstColumn="1" w:lastColumn="0" w:noHBand="0" w:noVBand="1"/>
      </w:tblPr>
      <w:tblGrid>
        <w:gridCol w:w="2728"/>
        <w:gridCol w:w="238"/>
        <w:gridCol w:w="6308"/>
        <w:tblGridChange w:id="0">
          <w:tblGrid>
            <w:gridCol w:w="2728"/>
            <w:gridCol w:w="238"/>
            <w:gridCol w:w="6308"/>
          </w:tblGrid>
        </w:tblGridChange>
      </w:tblGrid>
      <w:tr w:rsidR="003E034E" w:rsidRPr="006F0C9E" w14:paraId="4BFB9488" w14:textId="77777777" w:rsidTr="00E81253">
        <w:trPr>
          <w:gridAfter w:val="1"/>
          <w:wAfter w:w="6244" w:type="dxa"/>
          <w:trHeight w:val="448"/>
        </w:trPr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3C18684E" w14:textId="77777777" w:rsidR="003E034E" w:rsidRDefault="003E034E" w:rsidP="00E8125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Client Number:</w:t>
            </w:r>
          </w:p>
          <w:p w14:paraId="0F664D28" w14:textId="77777777" w:rsidR="003E034E" w:rsidRPr="00987EB2" w:rsidRDefault="003E034E" w:rsidP="00E81253">
            <w:pPr>
              <w:spacing w:line="240" w:lineRule="auto"/>
              <w:rPr>
                <w:rFonts w:eastAsia="Times New Roman" w:cstheme="minorHAnsi"/>
                <w:b/>
                <w:bCs/>
                <w:color w:val="000000" w:themeColor="text1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</w:rPr>
              <w:t>Name of Requestor:</w:t>
            </w:r>
          </w:p>
        </w:tc>
        <w:tc>
          <w:tcPr>
            <w:tcW w:w="236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bottom"/>
          </w:tcPr>
          <w:p w14:paraId="62AAC2AF" w14:textId="77777777" w:rsidR="003E034E" w:rsidRPr="006F0C9E" w:rsidRDefault="003E034E" w:rsidP="00E81253">
            <w:pPr>
              <w:spacing w:line="240" w:lineRule="auto"/>
              <w:rPr>
                <w:rFonts w:eastAsia="Times New Roman" w:cstheme="minorHAnsi"/>
                <w:color w:val="000000" w:themeColor="text1"/>
              </w:rPr>
            </w:pPr>
          </w:p>
        </w:tc>
      </w:tr>
      <w:tr w:rsidR="003E034E" w:rsidRPr="00A81580" w14:paraId="184191F0" w14:textId="77777777" w:rsidTr="00E81253">
        <w:trPr>
          <w:trHeight w:val="548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bottom"/>
          </w:tcPr>
          <w:p w14:paraId="0D7E00E6" w14:textId="77777777" w:rsidR="003E034E" w:rsidRPr="00D11054" w:rsidRDefault="003E034E" w:rsidP="00E8125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81580">
              <w:rPr>
                <w:b/>
                <w:bCs/>
                <w:sz w:val="20"/>
                <w:szCs w:val="20"/>
              </w:rPr>
              <w:t>Indicate th</w:t>
            </w:r>
            <w:r w:rsidRPr="00A81580">
              <w:rPr>
                <w:b/>
                <w:bCs/>
                <w:color w:val="000000"/>
                <w:sz w:val="20"/>
                <w:szCs w:val="20"/>
              </w:rPr>
              <w:t>e Type of Additional Request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5F522B7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b/>
                <w:bCs/>
                <w:color w:val="000000"/>
                <w:sz w:val="20"/>
                <w:szCs w:val="20"/>
              </w:rPr>
              <w:t>Types of Additional Requests</w:t>
            </w:r>
          </w:p>
        </w:tc>
      </w:tr>
      <w:tr w:rsidR="003E034E" w:rsidRPr="00A81580" w14:paraId="170F4646" w14:textId="77777777" w:rsidTr="00E81253">
        <w:trPr>
          <w:trHeight w:val="447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8544B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68C40" w14:textId="77777777" w:rsidR="003E034E" w:rsidRPr="00A81580" w:rsidRDefault="003E034E" w:rsidP="00E8125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Additional Product (AP)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A81580">
              <w:rPr>
                <w:sz w:val="20"/>
                <w:szCs w:val="20"/>
              </w:rPr>
              <w:t xml:space="preserve"> Request for certification of products not previously certified with QCS.</w:t>
            </w:r>
          </w:p>
        </w:tc>
      </w:tr>
      <w:tr w:rsidR="003E034E" w:rsidRPr="00A81580" w14:paraId="2F883299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A8CC" w14:textId="77777777" w:rsidR="003E034E" w:rsidRPr="00A81580" w:rsidRDefault="003E034E" w:rsidP="00E8125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5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6AE3" w14:textId="77777777" w:rsidR="003E034E" w:rsidRPr="00A81580" w:rsidRDefault="003E034E" w:rsidP="00E8125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Label Review (LR)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– </w:t>
            </w:r>
            <w:r w:rsidRPr="00A81580">
              <w:rPr>
                <w:sz w:val="20"/>
                <w:szCs w:val="20"/>
              </w:rPr>
              <w:t>Request for updated labels for previously certified products with QCS</w:t>
            </w:r>
            <w:r>
              <w:rPr>
                <w:sz w:val="20"/>
                <w:szCs w:val="20"/>
              </w:rPr>
              <w:t>.</w:t>
            </w:r>
          </w:p>
        </w:tc>
      </w:tr>
      <w:tr w:rsidR="003E034E" w:rsidRPr="00A81580" w14:paraId="7D402D95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9F0E7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B7A4F" w14:textId="77777777" w:rsidR="003E034E" w:rsidRPr="00A81580" w:rsidRDefault="003E034E" w:rsidP="00E8125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Organic Percentage Letter (PL)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–</w:t>
            </w:r>
            <w:r w:rsidRPr="00A81580">
              <w:rPr>
                <w:rFonts w:cstheme="minorHAnsi"/>
                <w:sz w:val="20"/>
                <w:szCs w:val="20"/>
              </w:rPr>
              <w:t xml:space="preserve"> Signed Letter from QCS confirming the organic percentage of a certified</w:t>
            </w:r>
            <w:r w:rsidRPr="00A81580">
              <w:rPr>
                <w:sz w:val="20"/>
                <w:szCs w:val="20"/>
              </w:rPr>
              <w:t xml:space="preserve"> product.</w:t>
            </w:r>
          </w:p>
        </w:tc>
      </w:tr>
      <w:tr w:rsidR="003E034E" w:rsidRPr="00A81580" w14:paraId="380F299A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219F8C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27F6B" w14:textId="77777777" w:rsidR="003E034E" w:rsidRPr="00A81580" w:rsidRDefault="003E034E" w:rsidP="00E81253">
            <w:pPr>
              <w:rPr>
                <w:b/>
                <w:bCs/>
                <w:sz w:val="20"/>
                <w:szCs w:val="20"/>
              </w:rPr>
            </w:pPr>
            <w:r w:rsidRPr="00A81580">
              <w:rPr>
                <w:b/>
                <w:bCs/>
                <w:sz w:val="20"/>
                <w:szCs w:val="20"/>
              </w:rPr>
              <w:t xml:space="preserve">Organic System Plan (OSP) Update – </w:t>
            </w:r>
            <w:r w:rsidRPr="00A81580">
              <w:rPr>
                <w:sz w:val="20"/>
                <w:szCs w:val="20"/>
              </w:rPr>
              <w:t>Review of changes and updates to the Organic System Plan outside of the renewal application (excluding additional product and label review requests).</w:t>
            </w:r>
          </w:p>
        </w:tc>
      </w:tr>
      <w:tr w:rsidR="003E034E" w:rsidRPr="00A81580" w14:paraId="70476D0F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BCAFE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74825" w14:textId="77777777" w:rsidR="003E034E" w:rsidRPr="00A81580" w:rsidRDefault="003E034E" w:rsidP="00E81253">
            <w:pPr>
              <w:spacing w:line="240" w:lineRule="auto"/>
              <w:rPr>
                <w:sz w:val="20"/>
                <w:szCs w:val="20"/>
              </w:rPr>
            </w:pPr>
            <w:r w:rsidRPr="00A81580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Add an Equivalency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A81580">
              <w:rPr>
                <w:b/>
                <w:bCs/>
                <w:sz w:val="20"/>
                <w:szCs w:val="20"/>
              </w:rPr>
              <w:t xml:space="preserve">– </w:t>
            </w:r>
            <w:r w:rsidRPr="00A81580">
              <w:rPr>
                <w:sz w:val="20"/>
                <w:szCs w:val="20"/>
              </w:rPr>
              <w:t>Addition of an Equivalency arrangement not previously included in the certification with QCS.</w:t>
            </w:r>
          </w:p>
        </w:tc>
      </w:tr>
      <w:tr w:rsidR="003E034E" w:rsidRPr="00A81580" w14:paraId="7F6FBDAE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7F2FCC6F" w14:textId="77777777" w:rsidR="003E034E" w:rsidRDefault="003E034E" w:rsidP="00E812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589A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Indicate the </w:t>
            </w:r>
          </w:p>
          <w:p w14:paraId="67C2C56B" w14:textId="77777777" w:rsidR="003E034E" w:rsidRPr="00F1589A" w:rsidRDefault="003E034E" w:rsidP="00E81253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F1589A">
              <w:rPr>
                <w:rFonts w:ascii="Calibri" w:hAnsi="Calibri" w:cs="Calibri"/>
                <w:b/>
                <w:bCs/>
                <w:sz w:val="20"/>
                <w:szCs w:val="20"/>
              </w:rPr>
              <w:t>Turnaround Time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2D050"/>
            <w:vAlign w:val="center"/>
          </w:tcPr>
          <w:p w14:paraId="361C86E5" w14:textId="77777777" w:rsidR="003E034E" w:rsidRPr="00A81580" w:rsidRDefault="003E034E" w:rsidP="00E81253">
            <w:pPr>
              <w:spacing w:line="24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color w:val="000000"/>
                <w:sz w:val="20"/>
                <w:szCs w:val="20"/>
              </w:rPr>
              <w:t>Turnaround times are in business days, and do</w:t>
            </w:r>
            <w:r>
              <w:rPr>
                <w:color w:val="000000"/>
                <w:sz w:val="20"/>
                <w:szCs w:val="20"/>
              </w:rPr>
              <w:t xml:space="preserve"> no</w:t>
            </w:r>
            <w:r w:rsidRPr="00A81580">
              <w:rPr>
                <w:color w:val="000000"/>
                <w:sz w:val="20"/>
                <w:szCs w:val="20"/>
              </w:rPr>
              <w:t>t include weekends or holidays. Please contact the QCS office for these services during the certification year (not with the annual renewal). If the request is withdrawn, ½ of the hourly rate will be billed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3E034E" w:rsidRPr="00A13B38" w14:paraId="42B73EB1" w14:textId="77777777" w:rsidTr="00E81253">
        <w:trPr>
          <w:trHeight w:val="130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CA8C7" w14:textId="77777777" w:rsidR="003E034E" w:rsidRPr="00A81580" w:rsidRDefault="003E034E" w:rsidP="00E81253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8158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E223" w14:textId="77777777" w:rsidR="003E034E" w:rsidRPr="00A13B38" w:rsidRDefault="003E034E" w:rsidP="00E81253">
            <w:pPr>
              <w:spacing w:line="240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 xml:space="preserve">Normal 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>service</w:t>
            </w: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: 15 to 20 days </w:t>
            </w:r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70/</w:t>
            </w:r>
            <w:proofErr w:type="spellStart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hr</w:t>
            </w:r>
            <w:proofErr w:type="spellEnd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3E034E" w:rsidRPr="00A13B38" w14:paraId="2C94E939" w14:textId="77777777" w:rsidTr="00E81253">
        <w:trPr>
          <w:trHeight w:val="495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CEE50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F16A7" w14:textId="77777777" w:rsidR="003E034E" w:rsidRPr="00A13B38" w:rsidRDefault="003E034E" w:rsidP="00E81253">
            <w:pPr>
              <w:spacing w:line="240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 xml:space="preserve">Rush 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>service</w:t>
            </w: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: 3 to 5 days </w:t>
            </w:r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(</w:t>
            </w:r>
            <w:r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$</w:t>
            </w:r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200/</w:t>
            </w:r>
            <w:proofErr w:type="spellStart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hr</w:t>
            </w:r>
            <w:proofErr w:type="spellEnd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- QCS reserves the right to decline this service depending on availability</w:t>
            </w:r>
          </w:p>
        </w:tc>
      </w:tr>
      <w:tr w:rsidR="003E034E" w:rsidRPr="00A13B38" w14:paraId="57B1F122" w14:textId="77777777" w:rsidTr="00E81253">
        <w:trPr>
          <w:trHeight w:val="242"/>
        </w:trPr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40067" w14:textId="77777777" w:rsidR="003E034E" w:rsidRPr="00A81580" w:rsidRDefault="003E034E" w:rsidP="00E81253">
            <w:pPr>
              <w:spacing w:line="240" w:lineRule="auto"/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A81580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64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50614F" w14:textId="77777777" w:rsidR="003E034E" w:rsidRPr="00A13B38" w:rsidRDefault="003E034E" w:rsidP="00E81253">
            <w:pPr>
              <w:spacing w:line="240" w:lineRule="auto"/>
              <w:rPr>
                <w:rFonts w:eastAsia="Arial" w:cstheme="minorHAnsi"/>
                <w:color w:val="000000" w:themeColor="text1"/>
                <w:sz w:val="20"/>
                <w:szCs w:val="20"/>
              </w:rPr>
            </w:pP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>Expedited</w:t>
            </w:r>
            <w:r>
              <w:rPr>
                <w:rFonts w:eastAsia="Arial" w:cstheme="minorHAnsi"/>
                <w:color w:val="000000" w:themeColor="text1"/>
                <w:sz w:val="20"/>
                <w:szCs w:val="20"/>
                <w:u w:val="single"/>
              </w:rPr>
              <w:t xml:space="preserve"> service</w:t>
            </w: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: 24 to 48 hours (1-2 working days) </w:t>
            </w:r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($450/</w:t>
            </w:r>
            <w:proofErr w:type="spellStart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hr</w:t>
            </w:r>
            <w:proofErr w:type="spellEnd"/>
            <w:r w:rsidRPr="00A13B38">
              <w:rPr>
                <w:rFonts w:eastAsia="Arial" w:cs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  <w:r w:rsidRPr="00A13B38">
              <w:rPr>
                <w:rFonts w:eastAsia="Arial" w:cstheme="minorHAnsi"/>
                <w:color w:val="000000" w:themeColor="text1"/>
                <w:sz w:val="20"/>
                <w:szCs w:val="20"/>
              </w:rPr>
              <w:t xml:space="preserve"> - QCS reserves the right to decline this service depending on availability</w:t>
            </w:r>
          </w:p>
        </w:tc>
      </w:tr>
    </w:tbl>
    <w:p w14:paraId="07020357" w14:textId="41CC4215" w:rsidR="00E36258" w:rsidRDefault="00E36258" w:rsidP="003E034E"/>
    <w:p w14:paraId="0355689B" w14:textId="77777777" w:rsidR="003E034E" w:rsidRDefault="003E034E" w:rsidP="003E034E">
      <w:pPr>
        <w:spacing w:line="257" w:lineRule="auto"/>
        <w:ind w:firstLine="720"/>
        <w:rPr>
          <w:rFonts w:ascii="Calibri" w:eastAsia="Calibri" w:hAnsi="Calibri" w:cs="Calibri"/>
          <w:b/>
          <w:bCs/>
          <w:i/>
          <w:iCs/>
        </w:rPr>
      </w:pPr>
      <w:r w:rsidRPr="6BEBE48C">
        <w:rPr>
          <w:b/>
          <w:bCs/>
          <w:i/>
          <w:iCs/>
        </w:rPr>
        <w:t>**Please note that</w:t>
      </w:r>
      <w:r w:rsidRPr="6BEBE48C">
        <w:rPr>
          <w:rFonts w:ascii="Calibri" w:eastAsia="Calibri" w:hAnsi="Calibri" w:cs="Calibri"/>
          <w:b/>
          <w:bCs/>
          <w:i/>
          <w:iCs/>
        </w:rPr>
        <w:t xml:space="preserve"> the submission is not considered complete until all requisite documents are </w:t>
      </w:r>
      <w:r>
        <w:tab/>
      </w:r>
      <w:r w:rsidRPr="6BEBE48C">
        <w:rPr>
          <w:rFonts w:ascii="Calibri" w:eastAsia="Calibri" w:hAnsi="Calibri" w:cs="Calibri"/>
          <w:b/>
          <w:bCs/>
          <w:i/>
          <w:iCs/>
        </w:rPr>
        <w:t>received, including additional requested documents. Thank you!</w:t>
      </w:r>
    </w:p>
    <w:p w14:paraId="7E9ABF72" w14:textId="77777777" w:rsidR="003E034E" w:rsidRDefault="003E034E" w:rsidP="003E034E">
      <w:pPr>
        <w:rPr>
          <w:b/>
          <w:bCs/>
          <w:sz w:val="20"/>
          <w:szCs w:val="20"/>
        </w:rPr>
      </w:pPr>
    </w:p>
    <w:p w14:paraId="540FF5CC" w14:textId="77777777" w:rsidR="003E034E" w:rsidRPr="003E034E" w:rsidRDefault="003E034E" w:rsidP="003E034E"/>
    <w:sectPr w:rsidR="003E034E" w:rsidRPr="003E03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34E"/>
    <w:rsid w:val="003E034E"/>
    <w:rsid w:val="00E3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C21B3"/>
  <w15:chartTrackingRefBased/>
  <w15:docId w15:val="{027B40C6-D1DB-4BB7-9825-441BA1BB7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03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 Basliyal-QCS</dc:creator>
  <cp:keywords/>
  <dc:description/>
  <cp:lastModifiedBy>Anjali  Basliyal-QCS</cp:lastModifiedBy>
  <cp:revision>1</cp:revision>
  <dcterms:created xsi:type="dcterms:W3CDTF">2023-03-23T21:13:00Z</dcterms:created>
  <dcterms:modified xsi:type="dcterms:W3CDTF">2023-03-23T21:15:00Z</dcterms:modified>
</cp:coreProperties>
</file>