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88"/>
        <w:gridCol w:w="3971"/>
        <w:gridCol w:w="2126"/>
      </w:tblGrid>
      <w:tr w:rsidR="009D0E2A" w:rsidRPr="006F31C4" w14:paraId="364BAFAA" w14:textId="77777777" w:rsidTr="00876E2C">
        <w:trPr>
          <w:cantSplit/>
          <w:trHeight w:val="432"/>
          <w:jc w:val="center"/>
        </w:trPr>
        <w:tc>
          <w:tcPr>
            <w:tcW w:w="10800" w:type="dxa"/>
            <w:gridSpan w:val="4"/>
            <w:vAlign w:val="center"/>
          </w:tcPr>
          <w:p w14:paraId="19E66209" w14:textId="5F3CD5D5" w:rsidR="0081067A" w:rsidRPr="006F31C4" w:rsidRDefault="009D7BE3" w:rsidP="0062334E">
            <w:pPr>
              <w:pStyle w:val="Heading1"/>
              <w:spacing w:before="40" w:after="40"/>
              <w:rPr>
                <w:lang w:val="es-419"/>
              </w:rPr>
            </w:pPr>
            <w:bookmarkStart w:id="0" w:name="_Toc450745746"/>
            <w:bookmarkStart w:id="1" w:name="_Toc90981495"/>
            <w:bookmarkStart w:id="2" w:name="_Toc113458139"/>
            <w:r w:rsidRPr="006F31C4">
              <w:rPr>
                <w:sz w:val="28"/>
                <w:szCs w:val="28"/>
                <w:lang w:val="es-419"/>
              </w:rPr>
              <w:t xml:space="preserve">PGO </w:t>
            </w:r>
            <w:r w:rsidR="004C6164" w:rsidRPr="006F31C4">
              <w:rPr>
                <w:sz w:val="28"/>
                <w:szCs w:val="28"/>
                <w:lang w:val="es-419"/>
              </w:rPr>
              <w:t>1</w:t>
            </w:r>
            <w:r w:rsidR="00A748B3" w:rsidRPr="006F31C4">
              <w:rPr>
                <w:sz w:val="28"/>
                <w:szCs w:val="28"/>
                <w:lang w:val="es-419"/>
              </w:rPr>
              <w:t>3</w:t>
            </w:r>
            <w:r w:rsidR="009D0E2A" w:rsidRPr="006F31C4">
              <w:rPr>
                <w:sz w:val="28"/>
                <w:szCs w:val="28"/>
                <w:lang w:val="es-419"/>
              </w:rPr>
              <w:t xml:space="preserve">: </w:t>
            </w:r>
            <w:bookmarkEnd w:id="0"/>
            <w:r w:rsidR="00BA3E9D" w:rsidRPr="006F31C4">
              <w:rPr>
                <w:sz w:val="28"/>
                <w:szCs w:val="28"/>
                <w:lang w:val="es-419"/>
              </w:rPr>
              <w:t>Acuerdo de equivalencia orgánica entre los Estados Unidos y Canadá</w:t>
            </w:r>
            <w:bookmarkEnd w:id="1"/>
            <w:bookmarkEnd w:id="2"/>
          </w:p>
        </w:tc>
      </w:tr>
      <w:tr w:rsidR="00876E2C" w:rsidRPr="006F31C4" w14:paraId="3791B4D4" w14:textId="77777777" w:rsidTr="00876E2C">
        <w:trPr>
          <w:cantSplit/>
          <w:trHeight w:val="683"/>
          <w:jc w:val="center"/>
        </w:trPr>
        <w:tc>
          <w:tcPr>
            <w:tcW w:w="10800" w:type="dxa"/>
            <w:gridSpan w:val="4"/>
          </w:tcPr>
          <w:p w14:paraId="109ECFAC" w14:textId="252DEA7D" w:rsidR="00876E2C" w:rsidRPr="006F31C4" w:rsidRDefault="00876E2C" w:rsidP="00876E2C">
            <w:pPr>
              <w:spacing w:before="40" w:after="40"/>
              <w:rPr>
                <w:b/>
                <w:sz w:val="24"/>
                <w:szCs w:val="22"/>
                <w:lang w:val="es-419"/>
              </w:rPr>
            </w:pPr>
            <w:r w:rsidRPr="006F31C4">
              <w:rPr>
                <w:b/>
                <w:sz w:val="24"/>
                <w:lang w:val="es-419"/>
              </w:rPr>
              <w:t>Complete esta sección si se encuentra fuera de Canadá y planea exportar productos orgánicos certificados bajo NOP-USDA a Canadá</w:t>
            </w:r>
            <w:r w:rsidRPr="006F31C4">
              <w:rPr>
                <w:rStyle w:val="OPModuleTitleChar32"/>
                <w:sz w:val="24"/>
                <w:lang w:val="es-419"/>
              </w:rPr>
              <w:t>.</w:t>
            </w:r>
            <w:r w:rsidRPr="006F31C4">
              <w:rPr>
                <w:sz w:val="24"/>
                <w:lang w:val="es-419"/>
              </w:rPr>
              <w:t xml:space="preserve"> Siga este enlace para obtener más información sobre el </w:t>
            </w:r>
            <w:hyperlink r:id="rId12" w:history="1">
              <w:r w:rsidRPr="006F31C4">
                <w:rPr>
                  <w:rStyle w:val="Hyperlink"/>
                  <w:sz w:val="24"/>
                  <w:lang w:val="es-419"/>
                </w:rPr>
                <w:t xml:space="preserve">acuerdo de equivalencia orgánica entre </w:t>
              </w:r>
              <w:proofErr w:type="gramStart"/>
              <w:r w:rsidRPr="006F31C4">
                <w:rPr>
                  <w:rStyle w:val="Hyperlink"/>
                  <w:sz w:val="24"/>
                  <w:lang w:val="es-419"/>
                </w:rPr>
                <w:t>EEUU</w:t>
              </w:r>
              <w:proofErr w:type="gramEnd"/>
              <w:r w:rsidRPr="006F31C4">
                <w:rPr>
                  <w:rStyle w:val="Hyperlink"/>
                  <w:sz w:val="24"/>
                  <w:lang w:val="es-419"/>
                </w:rPr>
                <w:t xml:space="preserve"> y Canadá (inglés)</w:t>
              </w:r>
            </w:hyperlink>
            <w:r w:rsidRPr="006F31C4">
              <w:rPr>
                <w:sz w:val="24"/>
                <w:lang w:val="es-419"/>
              </w:rPr>
              <w:t>.</w:t>
            </w:r>
          </w:p>
        </w:tc>
      </w:tr>
      <w:tr w:rsidR="009D0E2A" w:rsidRPr="006F31C4" w14:paraId="2C34B1D9" w14:textId="77777777" w:rsidTr="00876E2C">
        <w:trPr>
          <w:cantSplit/>
          <w:trHeight w:val="602"/>
          <w:jc w:val="center"/>
        </w:trPr>
        <w:tc>
          <w:tcPr>
            <w:tcW w:w="10800" w:type="dxa"/>
            <w:gridSpan w:val="4"/>
          </w:tcPr>
          <w:p w14:paraId="455E0BA5" w14:textId="77777777" w:rsidR="00D63002" w:rsidRPr="006F31C4" w:rsidRDefault="00D63002" w:rsidP="00D63002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6F31C4">
              <w:rPr>
                <w:b/>
                <w:sz w:val="24"/>
                <w:szCs w:val="28"/>
                <w:lang w:val="es-419"/>
              </w:rPr>
              <w:t>VERIFICACIÓN DE PRODUCTO</w:t>
            </w:r>
          </w:p>
          <w:p w14:paraId="1852668B" w14:textId="56FA5F90" w:rsidR="009D0E2A" w:rsidRPr="006F31C4" w:rsidRDefault="006F31C4" w:rsidP="009B18BC">
            <w:pPr>
              <w:jc w:val="both"/>
              <w:rPr>
                <w:lang w:val="es-419"/>
              </w:rPr>
            </w:pPr>
            <w:r w:rsidRPr="006F31C4">
              <w:rPr>
                <w:szCs w:val="22"/>
                <w:lang w:val="es-419"/>
              </w:rPr>
              <w:t>Enumerar toda la ganadería y/o productos ganaderos que se representarán como orgánicos en</w:t>
            </w:r>
            <w:r w:rsidR="002B6E50" w:rsidRPr="006F31C4">
              <w:rPr>
                <w:szCs w:val="22"/>
                <w:lang w:val="es-419"/>
              </w:rPr>
              <w:t xml:space="preserve"> </w:t>
            </w:r>
            <w:r w:rsidR="0062334E" w:rsidRPr="006F31C4">
              <w:rPr>
                <w:szCs w:val="22"/>
                <w:lang w:val="es-419"/>
              </w:rPr>
              <w:t>Canad</w:t>
            </w:r>
            <w:r w:rsidRPr="006F31C4">
              <w:rPr>
                <w:szCs w:val="22"/>
                <w:lang w:val="es-419"/>
              </w:rPr>
              <w:t>á</w:t>
            </w:r>
            <w:r w:rsidR="002B6E50" w:rsidRPr="006F31C4">
              <w:rPr>
                <w:szCs w:val="22"/>
                <w:lang w:val="es-419"/>
              </w:rPr>
              <w:t>:</w:t>
            </w:r>
          </w:p>
        </w:tc>
      </w:tr>
      <w:tr w:rsidR="00310A6C" w:rsidRPr="006F31C4" w14:paraId="14F5C31F" w14:textId="77777777" w:rsidTr="00876E2C">
        <w:trPr>
          <w:cantSplit/>
          <w:trHeight w:val="504"/>
          <w:jc w:val="center"/>
        </w:trPr>
        <w:tc>
          <w:tcPr>
            <w:tcW w:w="4615" w:type="dxa"/>
          </w:tcPr>
          <w:p w14:paraId="7C979304" w14:textId="23932C80" w:rsidR="00310A6C" w:rsidRPr="006F31C4" w:rsidRDefault="00292939" w:rsidP="00310A6C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b/>
                <w:szCs w:val="22"/>
                <w:lang w:val="es-419"/>
              </w:rPr>
              <w:t>Ganado/Productos Ganaderos</w:t>
            </w:r>
          </w:p>
        </w:tc>
        <w:tc>
          <w:tcPr>
            <w:tcW w:w="6185" w:type="dxa"/>
            <w:gridSpan w:val="3"/>
          </w:tcPr>
          <w:p w14:paraId="5B7E3CF7" w14:textId="13785091" w:rsidR="00310A6C" w:rsidRPr="006F31C4" w:rsidRDefault="00502296" w:rsidP="00310A6C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b/>
                <w:szCs w:val="22"/>
                <w:lang w:val="es-419"/>
              </w:rPr>
              <w:t xml:space="preserve">Rendimiento proyectado </w:t>
            </w:r>
            <w:r w:rsidRPr="00917C6B">
              <w:rPr>
                <w:bCs/>
                <w:szCs w:val="22"/>
                <w:lang w:val="es-419"/>
              </w:rPr>
              <w:t>(# de ganado o libras de productos pecuarios)</w:t>
            </w:r>
          </w:p>
        </w:tc>
      </w:tr>
      <w:tr w:rsidR="00310A6C" w:rsidRPr="006F31C4" w14:paraId="2B707099" w14:textId="77777777" w:rsidTr="00876E2C">
        <w:trPr>
          <w:cantSplit/>
          <w:trHeight w:val="368"/>
          <w:jc w:val="center"/>
        </w:trPr>
        <w:tc>
          <w:tcPr>
            <w:tcW w:w="4615" w:type="dxa"/>
          </w:tcPr>
          <w:p w14:paraId="334B4B9D" w14:textId="77777777" w:rsidR="00310A6C" w:rsidRPr="006F31C4" w:rsidDel="00310A6C" w:rsidRDefault="00310A6C" w:rsidP="00310A6C">
            <w:pPr>
              <w:jc w:val="both"/>
              <w:rPr>
                <w:b/>
                <w:szCs w:val="22"/>
                <w:lang w:val="es-419"/>
              </w:rPr>
            </w:pP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185" w:type="dxa"/>
            <w:gridSpan w:val="3"/>
          </w:tcPr>
          <w:p w14:paraId="6AA08738" w14:textId="77777777" w:rsidR="00310A6C" w:rsidRPr="006F31C4" w:rsidDel="00310A6C" w:rsidRDefault="00310A6C" w:rsidP="00310A6C">
            <w:pPr>
              <w:jc w:val="both"/>
              <w:rPr>
                <w:b/>
                <w:szCs w:val="22"/>
                <w:lang w:val="es-419"/>
              </w:rPr>
            </w:pP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10A6C" w:rsidRPr="006F31C4" w14:paraId="35152C2D" w14:textId="77777777" w:rsidTr="00876E2C">
        <w:trPr>
          <w:cantSplit/>
          <w:trHeight w:val="350"/>
          <w:jc w:val="center"/>
        </w:trPr>
        <w:tc>
          <w:tcPr>
            <w:tcW w:w="4615" w:type="dxa"/>
          </w:tcPr>
          <w:p w14:paraId="139C5DB9" w14:textId="77777777" w:rsidR="00310A6C" w:rsidRPr="006F31C4" w:rsidDel="00310A6C" w:rsidRDefault="00310A6C" w:rsidP="00310A6C">
            <w:pPr>
              <w:jc w:val="both"/>
              <w:rPr>
                <w:b/>
                <w:szCs w:val="22"/>
                <w:lang w:val="es-419"/>
              </w:rPr>
            </w:pP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185" w:type="dxa"/>
            <w:gridSpan w:val="3"/>
          </w:tcPr>
          <w:p w14:paraId="70C44843" w14:textId="77777777" w:rsidR="00310A6C" w:rsidRPr="006F31C4" w:rsidDel="00310A6C" w:rsidRDefault="00310A6C" w:rsidP="00310A6C">
            <w:pPr>
              <w:jc w:val="both"/>
              <w:rPr>
                <w:b/>
                <w:szCs w:val="22"/>
                <w:lang w:val="es-419"/>
              </w:rPr>
            </w:pP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10A6C" w:rsidRPr="006F31C4" w14:paraId="5FDB02DC" w14:textId="77777777" w:rsidTr="00876E2C">
        <w:trPr>
          <w:cantSplit/>
          <w:trHeight w:val="350"/>
          <w:jc w:val="center"/>
        </w:trPr>
        <w:tc>
          <w:tcPr>
            <w:tcW w:w="4615" w:type="dxa"/>
          </w:tcPr>
          <w:p w14:paraId="084C7B50" w14:textId="77777777" w:rsidR="00310A6C" w:rsidRPr="006F31C4" w:rsidDel="00310A6C" w:rsidRDefault="00310A6C" w:rsidP="00310A6C">
            <w:pPr>
              <w:jc w:val="both"/>
              <w:rPr>
                <w:b/>
                <w:szCs w:val="22"/>
                <w:lang w:val="es-419"/>
              </w:rPr>
            </w:pP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185" w:type="dxa"/>
            <w:gridSpan w:val="3"/>
          </w:tcPr>
          <w:p w14:paraId="7923720B" w14:textId="77777777" w:rsidR="00310A6C" w:rsidRPr="006F31C4" w:rsidDel="00310A6C" w:rsidRDefault="00310A6C" w:rsidP="00310A6C">
            <w:pPr>
              <w:jc w:val="both"/>
              <w:rPr>
                <w:b/>
                <w:szCs w:val="22"/>
                <w:lang w:val="es-419"/>
              </w:rPr>
            </w:pP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10A6C" w:rsidRPr="006F31C4" w14:paraId="3B5C0A65" w14:textId="77777777" w:rsidTr="00876E2C">
        <w:trPr>
          <w:cantSplit/>
          <w:trHeight w:val="350"/>
          <w:jc w:val="center"/>
        </w:trPr>
        <w:tc>
          <w:tcPr>
            <w:tcW w:w="4615" w:type="dxa"/>
          </w:tcPr>
          <w:p w14:paraId="70099D4B" w14:textId="77777777" w:rsidR="00310A6C" w:rsidRPr="006F31C4" w:rsidDel="00310A6C" w:rsidRDefault="00310A6C" w:rsidP="00310A6C">
            <w:pPr>
              <w:jc w:val="both"/>
              <w:rPr>
                <w:b/>
                <w:szCs w:val="22"/>
                <w:lang w:val="es-419"/>
              </w:rPr>
            </w:pP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6185" w:type="dxa"/>
            <w:gridSpan w:val="3"/>
          </w:tcPr>
          <w:p w14:paraId="3BE42B40" w14:textId="77777777" w:rsidR="00310A6C" w:rsidRPr="006F31C4" w:rsidDel="00310A6C" w:rsidRDefault="00310A6C" w:rsidP="00310A6C">
            <w:pPr>
              <w:jc w:val="both"/>
              <w:rPr>
                <w:b/>
                <w:szCs w:val="22"/>
                <w:lang w:val="es-419"/>
              </w:rPr>
            </w:pP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6F31C4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C9574E" w:rsidRPr="006F31C4" w14:paraId="47D8B4A4" w14:textId="77777777" w:rsidTr="00876E2C">
        <w:trPr>
          <w:cantSplit/>
          <w:trHeight w:val="812"/>
          <w:jc w:val="center"/>
        </w:trPr>
        <w:tc>
          <w:tcPr>
            <w:tcW w:w="10800" w:type="dxa"/>
            <w:gridSpan w:val="4"/>
          </w:tcPr>
          <w:p w14:paraId="05D3661F" w14:textId="77777777" w:rsidR="00C9574E" w:rsidRPr="00D04A50" w:rsidRDefault="00C9574E" w:rsidP="00C9574E">
            <w:pPr>
              <w:spacing w:before="40" w:after="40"/>
              <w:rPr>
                <w:rFonts w:cs="Arial"/>
                <w:b/>
                <w:sz w:val="24"/>
                <w:lang w:val="es-419"/>
              </w:rPr>
            </w:pPr>
            <w:r w:rsidRPr="007A7B6F">
              <w:rPr>
                <w:rFonts w:cs="Arial"/>
                <w:b/>
                <w:sz w:val="24"/>
                <w:lang w:val="es-419"/>
              </w:rPr>
              <w:t>DECLARACIÓN</w:t>
            </w:r>
          </w:p>
          <w:p w14:paraId="203FBA3F" w14:textId="1A017739" w:rsidR="00C9574E" w:rsidRPr="006F31C4" w:rsidRDefault="00C9574E" w:rsidP="00C9574E">
            <w:pPr>
              <w:spacing w:after="40"/>
              <w:jc w:val="both"/>
              <w:rPr>
                <w:szCs w:val="22"/>
                <w:lang w:val="es-419"/>
              </w:rPr>
            </w:pPr>
            <w:r w:rsidRPr="007A7B6F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A7B6F">
              <w:rPr>
                <w:lang w:val="es-419"/>
              </w:rPr>
              <w:t>del mismo</w:t>
            </w:r>
            <w:proofErr w:type="gramEnd"/>
            <w:r w:rsidRPr="007A7B6F">
              <w:rPr>
                <w:lang w:val="es-419"/>
              </w:rPr>
              <w:t>, que todas las aseveraciones hechas en esta Declaración de Acuerdo de Equivalencia Estados Unidos-Canadá son verdaderas y correctas. No se han utilizado materiales prohibidos según el acuerdo de equivalencia entre EE. UU. y Canadá para producir productos destinados a la exportación a Canadá. Estoy de acuerdo en proporcionar más información según lo requiera QCS y los representantes autorizados del USDA NOP y CFIA.</w:t>
            </w:r>
          </w:p>
        </w:tc>
      </w:tr>
      <w:tr w:rsidR="00CC23B5" w:rsidRPr="006F31C4" w14:paraId="463B5EEA" w14:textId="77777777" w:rsidTr="00CC23B5">
        <w:tblPrEx>
          <w:tblLook w:val="01E0" w:firstRow="1" w:lastRow="1" w:firstColumn="1" w:lastColumn="1" w:noHBand="0" w:noVBand="0"/>
        </w:tblPrEx>
        <w:trPr>
          <w:cantSplit/>
          <w:trHeight w:val="720"/>
          <w:jc w:val="center"/>
        </w:trPr>
        <w:tc>
          <w:tcPr>
            <w:tcW w:w="4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D3EC0" w14:textId="022253A9" w:rsidR="00CC23B5" w:rsidRPr="006F31C4" w:rsidRDefault="00CC23B5" w:rsidP="00CC23B5">
            <w:pPr>
              <w:rPr>
                <w:rFonts w:cs="Arial"/>
                <w:szCs w:val="20"/>
                <w:lang w:val="es-419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>
              <w:rPr>
                <w:rFonts w:cs="Arial"/>
                <w:szCs w:val="20"/>
                <w:lang w:val="es-419"/>
              </w:rPr>
              <w:t>Firma</w:t>
            </w:r>
            <w:r w:rsidRPr="00917C6B">
              <w:rPr>
                <w:rFonts w:cs="Arial"/>
                <w:szCs w:val="20"/>
                <w:lang w:val="es-419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F9C23C7" w14:textId="0BE92F0A" w:rsidR="00CC23B5" w:rsidRPr="006F31C4" w:rsidRDefault="00CC23B5" w:rsidP="00CC23B5">
            <w:pPr>
              <w:rPr>
                <w:rFonts w:cs="Arial"/>
                <w:szCs w:val="20"/>
                <w:lang w:val="es-419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Pr="00F72166">
              <w:rPr>
                <w:rFonts w:cs="Arial"/>
                <w:szCs w:val="20"/>
                <w:lang w:val="es-419"/>
              </w:rPr>
              <w:t>Titulo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7363928" w14:textId="1B894962" w:rsidR="00CC23B5" w:rsidRPr="006F31C4" w:rsidRDefault="00CC23B5" w:rsidP="00CC23B5">
            <w:pPr>
              <w:rPr>
                <w:rFonts w:cs="Arial"/>
                <w:szCs w:val="20"/>
                <w:lang w:val="es-419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>
              <w:rPr>
                <w:rFonts w:cs="Arial"/>
                <w:szCs w:val="20"/>
                <w:lang w:val="es-419"/>
              </w:rPr>
              <w:t>Fecha</w:t>
            </w:r>
          </w:p>
        </w:tc>
      </w:tr>
    </w:tbl>
    <w:p w14:paraId="1F03421B" w14:textId="77777777" w:rsidR="006E7C62" w:rsidRPr="006F31C4" w:rsidRDefault="006E7C62" w:rsidP="006E7C62">
      <w:pPr>
        <w:rPr>
          <w:lang w:val="es-419"/>
        </w:rPr>
      </w:pPr>
    </w:p>
    <w:sectPr w:rsidR="006E7C62" w:rsidRPr="006F31C4" w:rsidSect="00D33709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6A3E" w14:textId="77777777" w:rsidR="00BE28F5" w:rsidRDefault="00BE28F5">
      <w:r>
        <w:separator/>
      </w:r>
    </w:p>
  </w:endnote>
  <w:endnote w:type="continuationSeparator" w:id="0">
    <w:p w14:paraId="1E307E55" w14:textId="77777777" w:rsidR="00BE28F5" w:rsidRDefault="00BE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08129913" w:rsidR="00757991" w:rsidRPr="009D7BE3" w:rsidRDefault="00633665" w:rsidP="009D7BE3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  <w:lang w:val="en-US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A748B3">
      <w:rPr>
        <w:rFonts w:ascii="Garamond" w:hAnsi="Garamond"/>
        <w:sz w:val="20"/>
        <w:szCs w:val="20"/>
        <w:lang w:val="en-US"/>
      </w:rPr>
      <w:t>3</w:t>
    </w:r>
    <w:r w:rsidR="009D7BE3">
      <w:rPr>
        <w:rFonts w:ascii="Garamond" w:hAnsi="Garamond"/>
        <w:sz w:val="20"/>
        <w:szCs w:val="20"/>
        <w:lang w:val="en-US"/>
      </w:rPr>
      <w:t>_SP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A748B3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A748B3">
      <w:rPr>
        <w:rFonts w:ascii="Garamond" w:hAnsi="Garamond"/>
        <w:sz w:val="20"/>
        <w:szCs w:val="20"/>
        <w:lang w:val="en-US"/>
      </w:rPr>
      <w:t>10/01/2023</w:t>
    </w:r>
    <w:r w:rsidR="0062334E">
      <w:rPr>
        <w:rFonts w:ascii="Garamond" w:hAnsi="Garamond"/>
        <w:sz w:val="20"/>
        <w:szCs w:val="20"/>
        <w:lang w:val="en-US"/>
      </w:rPr>
      <w:t xml:space="preserve"> </w:t>
    </w:r>
    <w:r w:rsidR="007948F8">
      <w:rPr>
        <w:rFonts w:ascii="Garamond" w:hAnsi="Garamond"/>
        <w:sz w:val="20"/>
        <w:szCs w:val="20"/>
        <w:lang w:val="en-US"/>
      </w:rPr>
      <w:tab/>
    </w:r>
    <w:r w:rsidR="00A748B3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62334E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9D7BE3">
      <w:rPr>
        <w:rFonts w:ascii="Garamond" w:hAnsi="Garamond"/>
        <w:sz w:val="20"/>
        <w:szCs w:val="20"/>
        <w:lang w:val="en-US"/>
      </w:rPr>
      <w:t xml:space="preserve">Página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</w:t>
    </w:r>
    <w:r w:rsidR="009D7BE3">
      <w:rPr>
        <w:rFonts w:ascii="Garamond" w:hAnsi="Garamond"/>
        <w:sz w:val="20"/>
        <w:szCs w:val="20"/>
        <w:lang w:val="en-US"/>
      </w:rPr>
      <w:t>de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C3C5" w14:textId="77777777" w:rsidR="00BE28F5" w:rsidRDefault="00BE28F5">
      <w:r>
        <w:separator/>
      </w:r>
    </w:p>
  </w:footnote>
  <w:footnote w:type="continuationSeparator" w:id="0">
    <w:p w14:paraId="06D063E8" w14:textId="77777777" w:rsidR="00BE28F5" w:rsidRDefault="00BE2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194A4" w14:textId="77777777" w:rsidR="009D7BE3" w:rsidRPr="00345E8B" w:rsidRDefault="009D7BE3" w:rsidP="009D7BE3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9D7BE3" w:rsidRPr="00345E8B" w14:paraId="351ECD35" w14:textId="77777777" w:rsidTr="003608F5">
      <w:trPr>
        <w:jc w:val="center"/>
      </w:trPr>
      <w:tc>
        <w:tcPr>
          <w:tcW w:w="2856" w:type="dxa"/>
          <w:vMerge w:val="restart"/>
          <w:shd w:val="clear" w:color="auto" w:fill="auto"/>
        </w:tcPr>
        <w:p w14:paraId="48D03EE7" w14:textId="77777777" w:rsidR="009D7BE3" w:rsidRDefault="00DB104E" w:rsidP="009D7BE3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  <w:lang w:val="es-419"/>
            </w:rPr>
            <w:pict w14:anchorId="6CCBDB1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9D7BE3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</w:tcPr>
        <w:p w14:paraId="780A1043" w14:textId="77777777" w:rsidR="009D7BE3" w:rsidRDefault="009D7BE3" w:rsidP="009D7BE3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9D7BE3" w:rsidRPr="00345E8B" w14:paraId="09597F3E" w14:textId="77777777" w:rsidTr="003608F5">
      <w:trPr>
        <w:jc w:val="center"/>
      </w:trPr>
      <w:tc>
        <w:tcPr>
          <w:tcW w:w="2856" w:type="dxa"/>
          <w:vMerge/>
          <w:shd w:val="clear" w:color="auto" w:fill="auto"/>
        </w:tcPr>
        <w:p w14:paraId="79B32F42" w14:textId="77777777" w:rsidR="009D7BE3" w:rsidRDefault="009D7BE3" w:rsidP="009D7BE3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shd w:val="clear" w:color="auto" w:fill="auto"/>
        </w:tcPr>
        <w:p w14:paraId="6A290257" w14:textId="77777777" w:rsidR="009D7BE3" w:rsidRDefault="009D7BE3" w:rsidP="009D7BE3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424BBE1D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6EC937B3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386AADB6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shd w:val="clear" w:color="auto" w:fill="auto"/>
        </w:tcPr>
        <w:p w14:paraId="6F96F74E" w14:textId="77777777" w:rsidR="009D7BE3" w:rsidRDefault="009D7BE3" w:rsidP="009D7BE3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0D9A6386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76E8CCA4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5BFF9BEC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780D9FBF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shd w:val="clear" w:color="auto" w:fill="auto"/>
        </w:tcPr>
        <w:p w14:paraId="3DB65B9F" w14:textId="77777777" w:rsidR="009D7BE3" w:rsidRDefault="009D7BE3" w:rsidP="009D7BE3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17E5B8B5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62EBB857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080BD17A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486FF010" w14:textId="77777777" w:rsidR="009D7BE3" w:rsidRDefault="009D7BE3" w:rsidP="009D7BE3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49731071" w14:textId="77777777" w:rsidR="009D7BE3" w:rsidRPr="00345E8B" w:rsidRDefault="009D7BE3" w:rsidP="009D7BE3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4646F"/>
    <w:multiLevelType w:val="hybridMultilevel"/>
    <w:tmpl w:val="7CE02C76"/>
    <w:lvl w:ilvl="0" w:tplc="1456A9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4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9"/>
  </w:num>
  <w:num w:numId="4" w16cid:durableId="1969776920">
    <w:abstractNumId w:val="26"/>
  </w:num>
  <w:num w:numId="5" w16cid:durableId="60249111">
    <w:abstractNumId w:val="29"/>
  </w:num>
  <w:num w:numId="6" w16cid:durableId="741829202">
    <w:abstractNumId w:val="9"/>
  </w:num>
  <w:num w:numId="7" w16cid:durableId="478302610">
    <w:abstractNumId w:val="17"/>
  </w:num>
  <w:num w:numId="8" w16cid:durableId="564948649">
    <w:abstractNumId w:val="25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2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1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2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5"/>
  </w:num>
  <w:num w:numId="23" w16cid:durableId="1268807611">
    <w:abstractNumId w:val="16"/>
  </w:num>
  <w:num w:numId="24" w16cid:durableId="193933756">
    <w:abstractNumId w:val="11"/>
  </w:num>
  <w:num w:numId="25" w16cid:durableId="720062156">
    <w:abstractNumId w:val="20"/>
  </w:num>
  <w:num w:numId="26" w16cid:durableId="1369791958">
    <w:abstractNumId w:val="18"/>
  </w:num>
  <w:num w:numId="27" w16cid:durableId="345139622">
    <w:abstractNumId w:val="27"/>
  </w:num>
  <w:num w:numId="28" w16cid:durableId="1186947787">
    <w:abstractNumId w:val="5"/>
  </w:num>
  <w:num w:numId="29" w16cid:durableId="1213275581">
    <w:abstractNumId w:val="28"/>
  </w:num>
  <w:num w:numId="30" w16cid:durableId="556478932">
    <w:abstractNumId w:val="23"/>
  </w:num>
  <w:num w:numId="31" w16cid:durableId="1134522528">
    <w:abstractNumId w:val="24"/>
  </w:num>
  <w:num w:numId="32" w16cid:durableId="1565213471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oBuUtc8lrAQ8r2KTUljGLxtbdeIJFKOoCViN2E/zqumj4Nm373210S6HvtUNNKd0ShFFLjFUkFxmeQ+24oIkLw==" w:salt="QM5OWIGGzTwV3WOHlg6n5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6840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4507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2B36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A5C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2939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6D0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3F64E3"/>
    <w:rsid w:val="00400751"/>
    <w:rsid w:val="00403461"/>
    <w:rsid w:val="004048D7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771C6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6164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296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1FAA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334E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31C4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6E2C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D7BE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48B3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4687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3E9D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574E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23B5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709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002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104E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2E6D"/>
    <w:rsid w:val="00E03275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826"/>
    <w:rsid w:val="00EA5F75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Canad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C0676D6-22D7-40FF-A2DE-EB2C0686D1AA}"/>
</file>

<file path=customXml/itemProps4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1468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5</cp:revision>
  <cp:lastPrinted>2019-10-16T16:05:00Z</cp:lastPrinted>
  <dcterms:created xsi:type="dcterms:W3CDTF">2023-11-08T21:13:00Z</dcterms:created>
  <dcterms:modified xsi:type="dcterms:W3CDTF">2023-11-08T21:14:00Z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